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ESVG — Strafvorschriften</w:t>
      </w:r>
    </w:p>
    <w:p>
      <w:r>
        <w:rPr>
          <w:color w:val="555555"/>
          <w:sz w:val="18"/>
        </w:rPr>
        <w:t xml:space="preserve">Ernährungssicherstellungs- und -vorsorgegesetz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Mit Freiheitsstrafe bis zu zwei Jahren oder mit Geldstrafe wird bestraft, wer eine in § 19 Absatz 1 Nummer 1 Buchstabe a oder Nummer 2 bezeichnete vorsätzliche Handlung begeht und</w:t>
      </w:r>
    </w:p>
    <w:p>
      <w:pPr>
        <w:ind w:left="420"/>
      </w:pPr>
      <w:r>
        <w:t xml:space="preserve">1. dadurch die Grundversorgung schwer gefährdet oder</w:t>
      </w:r>
    </w:p>
    <w:p>
      <w:pPr>
        <w:ind w:left="420"/>
      </w:pPr>
      <w:r>
        <w:t xml:space="preserve">2. dabei eine außergewöhnliche Mangellage bei der Versorgung mit Erzeugnissen zur Erzielung von bedeutenden Vermögensvorteilen ausnutzt.</w:t>
      </w:r>
    </w:p>
    <w:p>
      <w:r>
        <w:rPr>
          <w:color w:val="555555"/>
          <w:sz w:val="17"/>
        </w:rPr>
        <w:t xml:space="preserve">Zitiervorschlag: § 20 ESVG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https://recht.nulegal.eu/gesetze/ESVG/20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