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ESVG — Härtefallausgleich bei Vermögensnachteil, Ermächtigung zum Erlass einer Rechtsverordnung</w:t>
      </w:r>
    </w:p>
    <w:p>
      <w:r>
        <w:rPr>
          <w:color w:val="555555"/>
          <w:sz w:val="18"/>
        </w:rPr>
        <w:t xml:space="preserve">Ernährungssicherstellungs- und -vorsorgegesetz</w:t>
      </w:r>
    </w:p>
    <w:p>
      <w:r>
        <w:rPr>
          <w:color w:val="555555"/>
          <w:sz w:val="18"/>
        </w:rPr>
        <w:t xml:space="preserve">Stand: 10.06.2019 (konsolidierte Textfassung, kein amtliches Inkrafttretensdatum)</w:t>
      </w:r>
    </w:p>
    <w:p>
      <w:r>
        <w:t xml:space="preserve">(1) Wird durch eine nach diesem Gesetz erlassene Rechtsverordnung oder durch eine Maßnahme auf Grund einer solchen Rechtsverordnung der betroffenen Person ein Vermögensnachteil zugefügt, der nicht nach § 16 zu entschädigen ist, so ist eine Entschädigung in Geld zu gewähren, soweit die wirtschaftliche Existenz der betroffenen Person durch einen unabwendbaren Schaden gefährdet oder vernichtet ist oder die Entschädigung zur Vermeidung oder zum Ausgleich ähnlicher unbilliger Härten geboten ist.</w:t>
      </w:r>
    </w:p>
    <w:p>
      <w:r>
        <w:t xml:space="preserve">(2) Zur Leistung der Entschädigung ist der Bund verpflichtet, wenn der Vermögensnachteil durch eine nach diesem Gesetz erlassene Rechtsverordnung oder durch eine Maßnahme der Bundesanstalt zugefügt worden ist. In den übrigen Fällen ist die Entschädigung von dem Land zu leisten, dessen Behörde die Maßnahme angeordnet hat.</w:t>
      </w:r>
    </w:p>
    <w:p>
      <w:r>
        <w:t xml:space="preserve">(3) § 16 Absatz 5 und 6 gilt entsprechend.</w:t>
      </w:r>
    </w:p>
    <w:p>
      <w:r>
        <w:rPr>
          <w:color w:val="555555"/>
          <w:sz w:val="17"/>
        </w:rPr>
        <w:t xml:space="preserve">Zitiervorschlag: § 17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