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ESVG — Auskunftspflicht für Ernährungsunternehmen, Überwachungsbefugnisse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Ernährungsunternehmen sind verpflichtet, den zuständigen Behörden auf deren Verlangen Auskünfte insbesondere über ihre Bestands- und Produktionsdaten zu erteilen, soweit diese Auskünfte zur Sicherstellung der Grundversorgung oder zur Vorsorge für eine Versorgungskrise erforderlich sind.</w:t>
      </w:r>
    </w:p>
    <w:p>
      <w:r>
        <w:t xml:space="preserve">(2) Die von den zuständigen Behörden mit der Einholung von Auskünften beauftragten Personen sind im Rahmen des Absatzes 1 jederzeit befugt,</w:t>
      </w:r>
    </w:p>
    <w:p>
      <w:pPr>
        <w:ind w:left="420"/>
      </w:pPr>
      <w:r>
        <w:t xml:space="preserve">1. Betriebs- und Geschäftsräume sowie dazugehörige Grundstücke der auskunftspflichtigen Personen zu betreten,</w:t>
      </w:r>
    </w:p>
    <w:p>
      <w:pPr>
        <w:ind w:left="420"/>
      </w:pPr>
      <w:r>
        <w:t xml:space="preserve">2. dort Prüfungen und Besichtigungen vorzunehmen und</w:t>
      </w:r>
    </w:p>
    <w:p>
      <w:pPr>
        <w:ind w:left="420"/>
      </w:pPr>
      <w:r>
        <w:t xml:space="preserve">3. die geschäftlichen Unterlagen des Ernährungsunternehmens einzusehen.</w:t>
      </w:r>
    </w:p>
    <w:p>
      <w:r>
        <w:t xml:space="preserve">(3) Ernährungsunternehmen sind verpflichtet, die mit der Einholung von Auskünften beauftragten Personen zu unterstützen und ihnen die geschäftlichen Unterlagen vorzulegen.</w:t>
      </w:r>
    </w:p>
    <w:p>
      <w:r>
        <w:t xml:space="preserve">(4) Die auskunftspflichtige Person kann die Auskunft auf solche Fragen verweigern, deren Beantwortung sie selbst oder eine oder einen der in § 383 Absatz 1 Nummer 1 bis 3 der Zivilprozessordnung bezeichneten Angehörigen der Gefahr strafgerichtlicher Verfolgung oder eines Verfahrens nach dem Gesetz über Ordnungswidrigkeiten aussetzen würde.</w:t>
      </w:r>
    </w:p>
    <w:p>
      <w:r>
        <w:t xml:space="preserve">(5) Die zuständige Behörde darf die nach den Absätzen 1 bis 3 erlangten Kenntnisse und Unterlagen nur für den in Absatz 1 genannten Zweck verwenden.</w:t>
      </w:r>
    </w:p>
    <w:p>
      <w:r>
        <w:rPr>
          <w:color w:val="555555"/>
          <w:sz w:val="17"/>
        </w:rPr>
        <w:t xml:space="preserve">Zitiervorschlag: § 15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