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ESVG — Selbstschutz</w:t>
      </w:r>
    </w:p>
    <w:p>
      <w:r>
        <w:rPr>
          <w:color w:val="555555"/>
          <w:sz w:val="18"/>
        </w:rPr>
        <w:t xml:space="preserve">Ernährungssicherstellungs- und -vorsorgegesetz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 und die Länder ergreifen Maßnahmen, um den Selbstschutz der Bevölkerung vor den Folgen einer Versorgungskrise zu stärken.</w:t>
      </w:r>
    </w:p>
    <w:p>
      <w:r>
        <w:t xml:space="preserve">(2) Der Bund und die Länder informieren die Bevölkerung über private Vorsorgemaßnahmen zur Stärkung des Selbstschutzes.</w:t>
      </w:r>
    </w:p>
    <w:p>
      <w:r>
        <w:rPr>
          <w:color w:val="555555"/>
          <w:sz w:val="17"/>
        </w:rPr>
        <w:t xml:space="preserve">Zitiervorschlag: § 14 ESVG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