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ESVG — Datenübermittlung zwischen den Behörden</w:t>
      </w:r>
    </w:p>
    <w:p>
      <w:r>
        <w:rPr>
          <w:color w:val="555555"/>
          <w:sz w:val="18"/>
        </w:rPr>
        <w:t xml:space="preserve">Ernährungssicherstellungs- und -vorsorgegesetz</w:t>
      </w:r>
    </w:p>
    <w:p>
      <w:r>
        <w:rPr>
          <w:color w:val="555555"/>
          <w:sz w:val="18"/>
        </w:rPr>
        <w:t xml:space="preserve">Stand: 16.12.2020 (konsolidierte Textfassung, kein amtliches Inkrafttretensdatum)</w:t>
      </w:r>
    </w:p>
    <w:p>
      <w:r>
        <w:t xml:space="preserve">(1) Soweit es zur Ausführung der in § 12 Absatz 1 genannten Vorkehrungen erforderlich ist, sind den zuständigen Behörden auf deren Anforderung, im Fall der Nummer 5 auf Anforderung der zuständigen obersten Landesbehörde, Daten zu übermitteln, die verarbeitet worden sind nach</w:t>
      </w:r>
    </w:p>
    <w:p>
      <w:pPr>
        <w:ind w:left="420"/>
      </w:pPr>
      <w:r>
        <w:t xml:space="preserve">1. dem Lebensmittel- und Futtermittelgesetzbuch,</w:t>
      </w:r>
    </w:p>
    <w:p>
      <w:pPr>
        <w:ind w:left="420"/>
      </w:pPr>
      <w:r>
        <w:t xml:space="preserve">2. der Verordnung (EG) Nr. 852/2004 des Europäischen Parlaments und des Rates über Lebensmittelhygiene (ABl. L 139 vom 30.4.2004, S. 1; L 226 vom 25.6.2004, S. 3; L 204 vom 4.8.2007, S. 26; L 46 vom 21.2.2008, S. 51; L 58 vom 3.3.2009, S. 3), die durch die Verordnung (EG) Nr. 219/2009 (ABl. L 87 vom 31.3.2009, S. 109) geändert worden ist,</w:t>
      </w:r>
    </w:p>
    <w:p>
      <w:pPr>
        <w:ind w:left="420"/>
      </w:pPr>
      <w:r>
        <w:t xml:space="preserve">3. der Verordnung (EG) Nr. 183/2005 des Europäischen Parlaments und des Rates mit Vorschriften für die Futtermittelhygiene (ABl. L 35 vom 8.2.2005, S. 1; L 50 vom 23.2.2008, S. 71), die zuletzt durch die Verordnung (EU) 2019/1243 (ABl. L 198 vom 25.7.2019, S. 241) geändert worden ist,</w:t>
      </w:r>
    </w:p>
    <w:p>
      <w:pPr>
        <w:ind w:left="420"/>
      </w:pPr>
      <w:r>
        <w:t xml:space="preserve">4. dem Tiergesundheitsgesetz und dem Tierseuchengesetz in der bis zum 30. April 2014 geltenden Fassung,</w:t>
      </w:r>
    </w:p>
    <w:p>
      <w:pPr>
        <w:ind w:left="420"/>
      </w:pPr>
      <w:r>
        <w:t xml:space="preserve">5. dem Gesetz über Meldungen über Marktordnungswaren,</w:t>
      </w:r>
    </w:p>
    <w:p>
      <w:pPr>
        <w:ind w:left="420"/>
      </w:pPr>
      <w:r>
        <w:t xml:space="preserve">6. dem InVeKoS-Daten-Gesetz oder</w:t>
      </w:r>
    </w:p>
    <w:p>
      <w:pPr>
        <w:ind w:left="420"/>
      </w:pPr>
      <w:r>
        <w:t xml:space="preserve">7. einer auf Grund eines dieser Gesetze erlassenen Rechtsverordnung.</w:t>
      </w:r>
    </w:p>
    <w:p>
      <w:r>
        <w:t xml:space="preserve">Die Übermittlung erfolgt nach näherer Bestimmung einer Rechtsverordnung nach Absatz 3 von den jeweils zuständigen Behörden.</w:t>
      </w:r>
    </w:p>
    <w:p>
      <w:r>
        <w:t xml:space="preserve">(2) Die zuständige Behörde darf die ihr nach Absatz 1 übermittelten Daten nur für den dort genannten Zweck verwenden.</w:t>
      </w:r>
    </w:p>
    <w:p>
      <w:r>
        <w:t xml:space="preserve">(3) Das Bundesministerium wird ermächtigt, durch Rechtsverordnung mit Zustimmung des Bundesrates</w:t>
      </w:r>
    </w:p>
    <w:p>
      <w:pPr>
        <w:ind w:left="420"/>
      </w:pPr>
      <w:r>
        <w:t xml:space="preserve">1. die Daten zu bestimmen, deren Übermittlung nach Absatz 1 gefordert werden kann, und</w:t>
      </w:r>
    </w:p>
    <w:p>
      <w:pPr>
        <w:ind w:left="420"/>
      </w:pPr>
      <w:r>
        <w:t xml:space="preserve">2. das Nähere über Zeitpunkt, Art, Form und Inhalt der Übermittlung der Daten nach Absatz 1 zu regeln.</w:t>
      </w:r>
    </w:p>
    <w:p>
      <w:r>
        <w:rPr>
          <w:color w:val="555555"/>
          <w:sz w:val="17"/>
        </w:rPr>
        <w:t xml:space="preserve">Zitiervorschlag: § 13 ESVG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https://recht.nulegal.eu/gesetze/ESVG/13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