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ESVG — Aufhebung von Maßnahmen</w:t>
      </w:r>
    </w:p>
    <w:p>
      <w:r>
        <w:rPr>
          <w:color w:val="555555"/>
          <w:sz w:val="18"/>
        </w:rPr>
        <w:t xml:space="preserve">Ernährungssicherstellungs- und -vorsorgegesetz</w:t>
      </w:r>
    </w:p>
    <w:p>
      <w:r>
        <w:rPr>
          <w:color w:val="555555"/>
          <w:sz w:val="18"/>
        </w:rPr>
        <w:t xml:space="preserve">Stand: 16.12.2020 (konsolidierte Textfassung, kein amtliches Inkrafttretensdatum)</w:t>
      </w:r>
    </w:p>
    <w:p>
      <w:r>
        <w:t xml:space="preserve">Bei Beendigung der Versorgungskrise sind sämtliche Maßnahmen, die nach einer nach § 4 Absatz 1 erlassenen Rechtsverordnung oder nach § 6 Absatz 1 getroffen worden sind, unverzüglich aufzuheben.</w:t>
      </w:r>
    </w:p>
    <w:p>
      <w:r>
        <w:rPr>
          <w:color w:val="555555"/>
          <w:sz w:val="17"/>
        </w:rPr>
        <w:t xml:space="preserve">Zitiervorschlag: § 10 ESVG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https://recht.nulegal.eu/gesetze/ESVG/10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