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ESVG — Versorgungskrise</w:t>
      </w:r>
    </w:p>
    <w:p>
      <w:r>
        <w:rPr>
          <w:color w:val="555555"/>
          <w:sz w:val="18"/>
        </w:rPr>
        <w:t xml:space="preserve">Ernährungssicherstellungs- und -vorsorgegesetz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Versorgungskrise liegt vor, wenn die Bundesregierung festgestellt hat, dass</w:t>
      </w:r>
    </w:p>
    <w:p>
      <w:pPr>
        <w:ind w:left="420"/>
      </w:pPr>
      <w:r>
        <w:t xml:space="preserve">1. die Deckung des lebensnotwendigen Bedarfs an Lebensmitteln in wesentlichen Teilen des Bundesgebietes ernsthaft gefährdet ist</w:t>
      </w:r>
    </w:p>
    <w:p>
      <w:pPr>
        <w:ind w:left="780"/>
      </w:pPr>
      <w:r>
        <w:t xml:space="preserve">a) im Spannungsfall nach Artikel 80a des Grundgesetzes oder im Verteidigungsfall nach Artikel 115a des Grundgesetzes oder</w:t>
      </w:r>
    </w:p>
    <w:p>
      <w:pPr>
        <w:ind w:left="780"/>
      </w:pPr>
      <w:r>
        <w:t xml:space="preserve">b) infolge einer Naturkatastrophe, eines besonders schweren Unglücksfalles, einer Sabotagehandlung, einer wirtschaftlichen Krisenlage oder eines sonstigen vergleichbaren Ereignisses und</w:t>
      </w:r>
    </w:p>
    <w:p>
      <w:pPr>
        <w:ind w:left="420"/>
      </w:pPr>
      <w:r>
        <w:t xml:space="preserve">2. diese Gefährdung ohne hoheitliche Eingriffe in den Markt nicht, nicht rechtzeitig oder nur mit unverhältnismäßigen Mitteln zu beheben ist.</w:t>
      </w:r>
    </w:p>
    <w:p>
      <w:r>
        <w:t xml:space="preserve">(2) Die Bundesregierung hat die Versorgungskrise unverzüglich für beendet zu erklären, wenn die Voraussetzungen für ihre Feststellung nicht mehr gegeben sind.</w:t>
      </w:r>
    </w:p>
    <w:p>
      <w:r>
        <w:rPr>
          <w:color w:val="555555"/>
          <w:sz w:val="17"/>
        </w:rPr>
        <w:t xml:space="preserve">Zitiervorschlag: § 1 ESVG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