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ESV (Brandenburg) — Geltungsbereich</w:t>
      </w:r>
    </w:p>
    <w:p>
      <w:r>
        <w:rPr>
          <w:color w:val="555555"/>
          <w:sz w:val="18"/>
        </w:rPr>
        <w:t xml:space="preserve">Ersatzschulverordnung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regelt das Nähere</w:t>
      </w:r>
    </w:p>
    <w:p>
      <w:r>
        <w:t xml:space="preserve">zur Genehmigung der Errichtung einer Ersatzschule,</w:t>
      </w:r>
    </w:p>
    <w:p>
      <w:r>
        <w:t xml:space="preserve">zum Betrieb und zur Änderung einer Ersatzschule und</w:t>
      </w:r>
    </w:p>
    <w:p>
      <w:r>
        <w:t xml:space="preserve">zur Anerkennung einer Ersatzschule.</w:t>
      </w:r>
    </w:p>
    <w:p>
      <w:r>
        <w:t xml:space="preserve">(2) Genehmigungsbehörde für die unter Absatz 1 aufgeführten Sachverhalte ist das für Schule zuständige Ministerium.</w:t>
      </w:r>
    </w:p>
    <w:p>
      <w:r>
        <w:rPr>
          <w:color w:val="555555"/>
          <w:sz w:val="17"/>
        </w:rPr>
        <w:t xml:space="preserve">Zitiervorschlag: § 1 ESV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