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ESMFinG — Inkrafttreten</w:t>
      </w:r>
    </w:p>
    <w:p>
      <w:r>
        <w:rPr>
          <w:color w:val="555555"/>
          <w:sz w:val="18"/>
        </w:rPr>
        <w:t xml:space="preserve">ESM-Finanzierungsgesetz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§ 8 ESMFinG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https://recht.nulegal.eu/gesetze/ESMFinG/8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