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ESGV</w:t>
      </w:r>
    </w:p>
    <w:p>
      <w:r>
        <w:rPr>
          <w:color w:val="555555"/>
          <w:sz w:val="18"/>
        </w:rPr>
        <w:t xml:space="preserve">Einstiegsgeld-Verordnung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16b Absatz 3 des Zweiten Buches Sozialgesetzbuch – Grundsicherung für Arbeitsuchende – (Artikel 1 des Gesetzes vom 24. Dezember 2003, BGBl. I S. 2954, 2955), der durch Artikel 2 Nummer 6 des Gesetzes vom 21. Dezember 2008 (BGBl. I S. 2917) eingefügt worden ist, verordnet das Bundesministerium für Arbeit und Soziales im Einvernehmen mit dem Bundesministerium der Finanzen:</w:t>
      </w:r>
    </w:p>
    <w:p>
      <w:r>
        <w:rPr>
          <w:color w:val="555555"/>
          <w:sz w:val="17"/>
        </w:rPr>
        <w:t xml:space="preserve">Zitiervorschlag: Eingangsformel ESGV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