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ESGV — Inkrafttreten</w:t>
      </w:r>
    </w:p>
    <w:p>
      <w:r>
        <w:rPr>
          <w:color w:val="555555"/>
          <w:sz w:val="18"/>
        </w:rPr>
        <w:t xml:space="preserve">Einstiegsgeld-Verordnung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ersten Tag des auf die Verkündung folgenden Kalendermonats in Kraft.</w:t>
      </w:r>
    </w:p>
    <w:p>
      <w:r>
        <w:rPr>
          <w:color w:val="555555"/>
          <w:sz w:val="17"/>
        </w:rPr>
        <w:t xml:space="preserve">Zitiervorschlag: § 3 ESGV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