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ESGV — Pauschale Bemessung des Einstiegsgeldes bei besonders zu fördernden Personengruppen</w:t>
      </w:r>
    </w:p>
    <w:p>
      <w:r>
        <w:rPr>
          <w:color w:val="555555"/>
          <w:sz w:val="18"/>
        </w:rPr>
        <w:t xml:space="preserve">Einstiegsgeld-Verordnung</w:t>
      </w:r>
    </w:p>
    <w:p>
      <w:r>
        <w:rPr>
          <w:color w:val="555555"/>
          <w:sz w:val="18"/>
        </w:rPr>
        <w:t xml:space="preserve">Stand: 10.06.2019 (konsolidierte Textfassung, kein amtliches Inkrafttretensdatum)</w:t>
      </w:r>
    </w:p>
    <w:p>
      <w:r>
        <w:t xml:space="preserve">(1) Das Einstiegsgeld kann abweichend von § 1 pauschal bemessen werden, wenn dies zur Eingliederung von besonders zu fördernden Personengruppen in den allgemeinen Arbeitsmarkt erforderlich ist. Bei der Bemessung kann festgelegt werden, dass sich die Höhe des Einstiegsgeldes innerhalb des Förderzeitraums in Abhängigkeit von der Förderdauer verändert.</w:t>
      </w:r>
    </w:p>
    <w:p>
      <w:r>
        <w:t xml:space="preserve">(2) Das Einstiegsgeld für erwerbsfähige Leistungsberechtigte darf in den Fällen des Absatzes 1 monatlich einen Betrag nicht überschreiten, der 75 vom Hundert des Regelbedarfs zur Sicherung des Lebensunterhalts nach § 20 Absatz 2 Satz 1 des Zweiten Buches Sozialgesetzbuch entspricht.</w:t>
      </w:r>
    </w:p>
    <w:p>
      <w:r>
        <w:rPr>
          <w:color w:val="555555"/>
          <w:sz w:val="17"/>
        </w:rPr>
        <w:t xml:space="preserve">Zitiervorschlag: § 2 ESGV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