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ESBO — Gleisbogen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Bogenhalbmesser in durchgehenden Hauptgleisen soll bei Neubauten nicht weniger als 50 m betragen.</w:t>
      </w:r>
    </w:p>
    <w:p>
      <w:r>
        <w:t xml:space="preserve">(2) Die Richtung durchgehender Hauptgleise darf sich in der Regel nur stetig ändern. Wo erforderlich, sind Übergangsbogen anzulegen.</w:t>
      </w:r>
    </w:p>
    <w:p>
      <w:r>
        <w:t xml:space="preserve">(3) In den Bogen der durchgehenden Hauptgleise muß in der Regel die äußere Schiene höher liegen als die innere (Überhöhung). Die Überhöhung darf höchstens betragen</w:t>
      </w:r>
    </w:p>
    <w:p>
      <w:r>
        <w:rPr>
          <w:rFonts w:ascii="Courier New" w:hAnsi="Courier New"/>
          <w:sz w:val="17"/>
        </w:rPr>
        <w:t xml:space="preserve">1.    bei Gleisen ohne Rollfahrzeugbetrieb</w:t>
      </w:r>
    </w:p>
    <w:p>
      <w:r>
        <w:rPr>
          <w:rFonts w:ascii="Courier New" w:hAnsi="Courier New"/>
          <w:sz w:val="17"/>
        </w:rPr>
        <w:t xml:space="preserve">100 mm beim Grundmaß der Spurweite</w:t>
      </w:r>
    </w:p>
    <w:p>
      <w:r>
        <w:rPr>
          <w:rFonts w:ascii="Courier New" w:hAnsi="Courier New"/>
          <w:sz w:val="17"/>
        </w:rPr>
        <w:t xml:space="preserve">    von 1.000 mm,</w:t>
      </w:r>
    </w:p>
    <w:p>
      <w:r>
        <w:rPr>
          <w:rFonts w:ascii="Courier New" w:hAnsi="Courier New"/>
          <w:sz w:val="17"/>
        </w:rPr>
        <w:t xml:space="preserve">50 mm beim Grundmaß der Spurweite</w:t>
      </w:r>
    </w:p>
    <w:p>
      <w:r>
        <w:rPr>
          <w:rFonts w:ascii="Courier New" w:hAnsi="Courier New"/>
          <w:sz w:val="17"/>
        </w:rPr>
        <w:t xml:space="preserve">    von 750 mm,</w:t>
      </w:r>
    </w:p>
    <w:p>
      <w:r>
        <w:rPr>
          <w:rFonts w:ascii="Courier New" w:hAnsi="Courier New"/>
          <w:sz w:val="17"/>
        </w:rPr>
        <w:t xml:space="preserve">2.    bei Gleisen mit Rollfahrzeugbetrieb</w:t>
      </w:r>
    </w:p>
    <w:p>
      <w:r>
        <w:rPr>
          <w:rFonts w:ascii="Courier New" w:hAnsi="Courier New"/>
          <w:sz w:val="17"/>
        </w:rPr>
        <w:t xml:space="preserve">80 mm beim Grundmaß der Spurweite</w:t>
      </w:r>
    </w:p>
    <w:p>
      <w:r>
        <w:rPr>
          <w:rFonts w:ascii="Courier New" w:hAnsi="Courier New"/>
          <w:sz w:val="17"/>
        </w:rPr>
        <w:t xml:space="preserve">    von 1.000 mm,</w:t>
      </w:r>
    </w:p>
    <w:p>
      <w:r>
        <w:rPr>
          <w:rFonts w:ascii="Courier New" w:hAnsi="Courier New"/>
          <w:sz w:val="17"/>
        </w:rPr>
        <w:t xml:space="preserve">40 mm beim Grundmaß der Spurweite</w:t>
      </w:r>
    </w:p>
    <w:p>
      <w:r>
        <w:rPr>
          <w:rFonts w:ascii="Courier New" w:hAnsi="Courier New"/>
          <w:sz w:val="17"/>
        </w:rPr>
        <w:t xml:space="preserve">    von 750 mm.</w:t>
      </w:r>
    </w:p>
    <w:p>
      <w:r>
        <w:t xml:space="preserve">(4) Jede Änderung der Überhöhung ist durch eine Rampe zu vermitteln, deren Neigung nicht größer sein darf als 1:300.</w:t>
      </w:r>
    </w:p>
    <w:p>
      <w:r>
        <w:rPr>
          <w:color w:val="555555"/>
          <w:sz w:val="17"/>
        </w:rPr>
        <w:t xml:space="preserve">Zitiervorschlag: § 6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