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ESBO — Ordnungswidrigkeiten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im Sinne des § 28 des Allgemeinen Eisenbahngesetzes handelt, wer entgegen den Vorschriften des § 48 vorsätzlich 1.</w:t>
      </w:r>
    </w:p>
    <w:p>
      <w:pPr>
        <w:ind w:left="420"/>
      </w:pPr>
      <w:r>
        <w:t xml:space="preserve">2. an einer nicht dazu bestimmten Seite eines Fahrzeugs oder an einer nicht dazu bestimmten Stelle einsteigt oder aussteigt,</w:t>
      </w:r>
    </w:p>
    <w:p>
      <w:pPr>
        <w:ind w:left="420"/>
      </w:pPr>
      <w:r>
        <w:t xml:space="preserve">3. einsteigt oder aussteigt, ein Trittbrett betritt oder sich ohne ausdrückliche Gestattung auf einer Plattform aufhält, solange sich das Fahrzeug bewegt, oder</w:t>
      </w:r>
    </w:p>
    <w:p>
      <w:pPr>
        <w:ind w:left="420"/>
      </w:pPr>
      <w:r>
        <w:t xml:space="preserve">4. eine Bahnanlage, eine Betriebseinrichtung oder ein Fahrzeug verunreinigt.</w:t>
      </w:r>
    </w:p>
    <w:p>
      <w:r>
        <w:t xml:space="preserve">(2) Ordnungswidrig im Sinne des § 28 des Allgemeinen Eisenbahngesetzes handelt auch, wer entgegen den Vorschriften des § 48 vorsätzlich oder fahrlässig</w:t>
      </w:r>
    </w:p>
    <w:p>
      <w:pPr>
        <w:ind w:left="420"/>
      </w:pPr>
      <w:r>
        <w:t xml:space="preserve">1. ohne amtliche Befugnis eine Bahnanlage oder ein Fahrzeug insoweit betritt oder benutzt, als sie nicht dem allgemeinen Verkehrsgebrauch dient oder als kein besonderes Nutzungsverhältnis dazu berechtigt,</w:t>
      </w:r>
    </w:p>
    <w:p>
      <w:pPr>
        <w:ind w:left="420"/>
      </w:pPr>
      <w:r>
        <w:t xml:space="preserve">2. sich innerhalb der Gleise aufhält, ohne daß dies zur Erfüllung amtlicher Aufgaben erforderlich oder im Rahmen eines Nutzungsverhältnisses zugelassen ist,</w:t>
      </w:r>
    </w:p>
    <w:p>
      <w:pPr>
        <w:ind w:left="420"/>
      </w:pPr>
      <w:r>
        <w:t xml:space="preserve">3. eine Außentür öffnet, solange sich das Fahrzeug bewegt,</w:t>
      </w:r>
    </w:p>
    <w:p>
      <w:pPr>
        <w:ind w:left="420"/>
      </w:pPr>
      <w:r>
        <w:t xml:space="preserve">4. eine Sache aus dem Wagen wirft, die geeignet ist, einen anderen zu verletzen oder eine Sache zu beschädigen, oder</w:t>
      </w:r>
    </w:p>
    <w:p>
      <w:pPr>
        <w:ind w:left="420"/>
      </w:pPr>
      <w:r>
        <w:t xml:space="preserve">5. eine Schranke oder eine sonstige Sicherungseinrichtung unerlaubt öffnet, ein Fahrthindernis bereitet oder eine andere betriebsstörende oder betriebsgefährdende Handlung vornimmt.</w:t>
      </w:r>
    </w:p>
    <w:p>
      <w:r>
        <w:t xml:space="preserve">(3) Die Zuständigkeit für die Verfolgung und Ahndung von Ordnungswidrigkeiten nach den Absätzen 1 und 2 wird im Bereich der Eisenbahnen des Bundes auf die in der Rechtsverordnung nach § 58 Abs. 1 des Bundespolizeigesetzes bestimmte Bundespolizeibehörde übertragen.</w:t>
      </w:r>
    </w:p>
    <w:p>
      <w:r>
        <w:rPr>
          <w:color w:val="555555"/>
          <w:sz w:val="17"/>
        </w:rPr>
        <w:t xml:space="preserve">Zitiervorschlag: § 49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