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ESBO — Begriffserklärungen für Bahnanlagen</w:t>
      </w:r>
    </w:p>
    <w:p>
      <w:r>
        <w:rPr>
          <w:color w:val="555555"/>
          <w:sz w:val="18"/>
        </w:rPr>
        <w:t xml:space="preserve">Eisenbahn-Bau- und Betriebsordnung für Schmalspurbahnen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4 der EBO über Begriffserklärungen gilt entsprechend.</w:t>
      </w:r>
    </w:p>
    <w:p>
      <w:r>
        <w:rPr>
          <w:color w:val="555555"/>
          <w:sz w:val="17"/>
        </w:rPr>
        <w:t xml:space="preserve">Zitiervorschlag: § 4 ESBO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https://recht.nulegal.eu/gesetze/ESBO/4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