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ESBO — Freie Räume und vorstehende Teile an den Stirnseiten der Fahrzeuge</w:t>
      </w:r>
    </w:p>
    <w:p>
      <w:r>
        <w:rPr>
          <w:color w:val="555555"/>
          <w:sz w:val="18"/>
        </w:rPr>
        <w:t xml:space="preserve">Eisenbahn-Bau- und Betriebsordnung für Schmalspurbahnen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 den Stirnseiten neu zu bauender Fahrzeuge außer Rollböcken muß auf jeder Seite der Zugeinrichtung ein Raum nach Anlage 6 freigehalten werden.</w:t>
      </w:r>
    </w:p>
    <w:p>
      <w:r>
        <w:t xml:space="preserve">(2) Außerhalb dieses Raumes müssen alle festen Teile von der Stoßebene des ganz eingedrückten Puffers mindestens 40 mm entfernt bleiben. Hiervon ausgenommen sind die Teile der Wulstübergänge.</w:t>
      </w:r>
    </w:p>
    <w:p>
      <w:r>
        <w:rPr>
          <w:color w:val="555555"/>
          <w:sz w:val="17"/>
        </w:rPr>
        <w:t xml:space="preserve">Zitiervorschlag: § 25 ESBO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https://recht.nulegal.eu/gesetze/ESBO/25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