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ESBO — Radsatzabstand und Bogenlauf</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Der feste Radsatzabstand neuer Fahrzeuge ohne Drehgestelle muß mindestens 2.000 mm betragen. Bei Kleinlokomotiven darf der feste Radsatzabstand bis auf 1.500 mm verringert werden, wenn sie nur dort verwendet werden, wo die Bauart der Weichen und Kreuzungen solche Radsatzabstände zuläßt.</w:t>
      </w:r>
    </w:p>
    <w:p>
      <w:r>
        <w:t xml:space="preserve">(2) Die Radsätze der Fahrzeuge müssen so beschaffen und gelagert sein, daß die Gleisbogen einwandfrei durchfahren werden können.</w:t>
      </w:r>
    </w:p>
    <w:p>
      <w:r>
        <w:rPr>
          <w:color w:val="555555"/>
          <w:sz w:val="17"/>
        </w:rPr>
        <w:t xml:space="preserve">Zitiervorschlag: § 20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