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ESBO — Radsatzlasten und Fahrzeuggewichte je Längeneinheit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Radsatzlasten und die Fahrzeuggewichte je Längeneinheit dürfen nicht größer sein, als es die Belastbarkeit des Oberbaus und der Bauwerke zuläßt. Das gilt auch für beladene Rollfahrzeuge.</w:t>
      </w:r>
    </w:p>
    <w:p>
      <w:r>
        <w:t xml:space="preserve">(2) Die Radsatzlast ist der auf einen Radsatz, das Fahrzeuggewicht je Längeneinheit der auf 1,00 m Fahrzeuglänge entfallende Anteil der Gesamtlast. Die Fahrzeuglänge ist hierbei über die nicht eingedrückten Puffer zu messen.</w:t>
      </w:r>
    </w:p>
    <w:p>
      <w:r>
        <w:rPr>
          <w:color w:val="555555"/>
          <w:sz w:val="17"/>
        </w:rPr>
        <w:t xml:space="preserve">Zitiervorschlag: § 19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