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ESBO — Bahnsteige, Rampen, Bahnhofsname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Feste Gegenstände auf Personenbahnsteigen (Säulen und dgl.) müssen bis zu einer Höhe von 2,50 m über dem Bahnsteig mindestens um die halbe Breite der Fahrzeugbegrenzung + 850 mm von Gleismitte entfernt sein; bei Rollfahrzeugbetrieb müssen sie bis zu einer Höhe von h + 3,05 m über Schienenoberkante des Schmalspurgleises mindestens 2,70 m von Gleismitte entfernt sein. Ausnahmen von diesen Mindestmaßen sind zulässig (§ 3 Abs. 1 Nr. 2). Das Maß "h" bestimmt sich nach Anlage 1 Bild 3.</w:t>
      </w:r>
    </w:p>
    <w:p>
      <w:r>
        <w:t xml:space="preserve">(2) Seitenrampen, an denen regelspurige Güterwagen mit nach außen aufschlagenden Türen be- oder entladen werden sollen, dürfen nicht höher als h + 1,10 m sein.</w:t>
      </w:r>
    </w:p>
    <w:p>
      <w:r>
        <w:t xml:space="preserve">(3) Für die Dauer von Bauarbeiten darf von den Vorschriften des Absatzes 1 abgewichen werden, wenn die erforderlichen Sicherheitsmaßnahmen getroffen sind.</w:t>
      </w:r>
    </w:p>
    <w:p>
      <w:r>
        <w:t xml:space="preserve">(4) Der Name von Bahnhöfen, Haltestellen und Haltepunkten für den Personenverkehr ist gut sichtbar für die Reisenden anzubringen. Ausnahmen sind zulässig (§ 3 Abs. 1 Nr. 2).</w:t>
      </w:r>
    </w:p>
    <w:p>
      <w:r>
        <w:t xml:space="preserve">(5) Die Bahnanlagen für den Personenverkehr sind zu beleuchten; bei einfachen Verhältnissen darf hierauf verzichtet werden.</w:t>
      </w:r>
    </w:p>
    <w:p>
      <w:r>
        <w:rPr>
          <w:color w:val="555555"/>
          <w:sz w:val="17"/>
        </w:rPr>
        <w:t xml:space="preserve">Zitiervorschlag: § 13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