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ESBO — Geltungsbereich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die schmalspurigen Eisenbahnen des öffentlichen Verkehrs in der Bundesrepublik Deutschland.</w:t>
      </w:r>
    </w:p>
    <w:p>
      <w:r>
        <w:t xml:space="preserve">(2) Soweit in dieser Verordnung auf Vorschriften der Eisenbahn-Bau- und Betriebsordnung (EBO) vom 8. Mai 1967 (Bundesgesetzbl. II S. 1563), zuletzt geändert durch die Verordnung vom 18. Dezember 1981 (BGBl. I S. 1490), verwiesen ist, sind die dort in voller Breite einer Seite und die auf der rechten Hälfte einer Seite gedruckten Vorschriften in der jeweils gültigen Fassung anzuwenden.</w:t>
      </w:r>
    </w:p>
    <w:p>
      <w:r>
        <w:t xml:space="preserve">(3) Die Vorschriften für Neubauten gelten auch für umfassende Umbauten bestehender Bahnanlagen und Fahrzeuge; sie sollen auch bei der Unterhaltung und Erneuerung berücksichtigt werden.</w:t>
      </w:r>
    </w:p>
    <w:p>
      <w:r>
        <w:rPr>
          <w:color w:val="555555"/>
          <w:sz w:val="17"/>
        </w:rPr>
        <w:t xml:space="preserve">Zitiervorschlag: § 1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