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ERegG — Unabhängigkeit des Betreibers von Eisenbahnanlagen in Bezug auf wesentliche Funktionen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Ein Betreiber von Eisenbahnanlagen muss innerhalb der in § 8 Absatz 1, §§ 23 und 39 Absatz 1 und § 44 dieses Gesetzes festgelegten Grenzen rechtlich, organisatorisch und in seinen Entscheidungen in Bezug auf die wesentlichen Funktionen von Eisenbahnverkehrsunternehmen unabhängig sein.</w:t>
      </w:r>
    </w:p>
    <w:p>
      <w:r>
        <w:t xml:space="preserve">(2) Ein Betreiber von Eisenbahnanlagen muss, soweit es sich um Entscheidungen nach Absatz 1 handelt, über eine eigene Geschäftsführung, Verwaltung und interne Kontrolle verfügen.</w:t>
      </w:r>
    </w:p>
    <w:p>
      <w:r>
        <w:t xml:space="preserve">(3) Im Hinblick auf Absatz 1 darf insbesondere</w:t>
      </w:r>
    </w:p>
    <w:p>
      <w:pPr>
        <w:ind w:left="420"/>
      </w:pPr>
      <w:r>
        <w:t xml:space="preserve">1. ein Eisenbahnverkehrsunternehmen oder eine andere juristische Person keinen bestimmenden Einfluss auf den Betreiber von Eisenbahnanlagen hinsichtlich der wesentlichen Funktionen ausüben; die gesetzlich vorgesehenen Aufgaben und Mitwirkungen des Bundes und der Länder bleiben unberührt;</w:t>
      </w:r>
    </w:p>
    <w:p>
      <w:pPr>
        <w:ind w:left="420"/>
      </w:pPr>
      <w:r>
        <w:t xml:space="preserve">2. ein Eisenbahnverkehrsunternehmen oder ein anderer Bereich in einem vertikal integrierten Unternehmen keinen bestimmenden Einfluss auf die Ernennungen und Entlassungen der Personen ausüben, die Entscheidungen über die wesentlichen Funktionen zu treffen haben; und</w:t>
      </w:r>
    </w:p>
    <w:p>
      <w:pPr>
        <w:ind w:left="420"/>
      </w:pPr>
      <w:r>
        <w:t xml:space="preserve">3. die berufliche Mobilität der Personen, die mit den wesentlichen Funktionen betraut sind, nicht zu Konflikten zwischen den Interessen von Eisenbahnverkehrsunternehmen und Betreibern von Eisenbahnanlagen führen.</w:t>
      </w:r>
    </w:p>
    <w:p>
      <w:r>
        <w:rPr>
          <w:color w:val="555555"/>
          <w:sz w:val="17"/>
        </w:rPr>
        <w:t xml:space="preserve">Zitiervorschlag: § 8a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