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ERegG — Gutachten der Monopolkommission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Monopolkommission erstellt alle zwei Jahre ein Gutachten, in dem sie</w:t>
      </w:r>
    </w:p>
    <w:p>
      <w:pPr>
        <w:ind w:left="420"/>
      </w:pPr>
      <w:r>
        <w:t xml:space="preserve">1. den Stand und die absehbare Entwicklung des Wettbewerbs beurteilt,</w:t>
      </w:r>
    </w:p>
    <w:p>
      <w:pPr>
        <w:ind w:left="420"/>
      </w:pPr>
      <w:r>
        <w:t xml:space="preserve">2. die Frage beurteilt, ob ein wirksamer Wettbewerb im Sinne des § 3 Nummer 2 besteht,</w:t>
      </w:r>
    </w:p>
    <w:p>
      <w:pPr>
        <w:ind w:left="420"/>
      </w:pPr>
      <w:r>
        <w:t xml:space="preserve">3. die Anwendung der Vorschriften des Eisenbahnrechts würdigt und</w:t>
      </w:r>
    </w:p>
    <w:p>
      <w:pPr>
        <w:ind w:left="420"/>
      </w:pPr>
      <w:r>
        <w:t xml:space="preserve">4. zu sonstigen aktuellen wettbewerbspolitischen Fragen im Zusammenhang mit dem Betrieb von Eisenbahnen Stellung nimmt.</w:t>
      </w:r>
    </w:p>
    <w:p>
      <w:r>
        <w:t xml:space="preserve">Das Gutachten soll in dem Jahr abgeschlossen sein, in dem kein Hauptgutachten nach § 44 des Gesetzes gegen Wettbewerbsbeschränkungen vorgelegt wird.</w:t>
      </w:r>
    </w:p>
    <w:p>
      <w:r>
        <w:t xml:space="preserve">(2) Die Monopolkommission leitet ihr Gutachten der Bundesregierung zu. Die Bundesregierung legt das Gutachten unverzüglich den gesetzgebenden Körperschaften vor und nimmt zu den getroffenen Feststellungen innerhalb einer angemessenen Frist nach der Vorlage Stellung. Das Gutachten wird von der Monopolkommission zu dem Zeitpunkt veröffentlicht, zu dem es von der Bundesregierung den gesetzgebenden Körperschaften vorgelegt wird.</w:t>
      </w:r>
    </w:p>
    <w:p>
      <w:r>
        <w:rPr>
          <w:color w:val="555555"/>
          <w:sz w:val="17"/>
        </w:rPr>
        <w:t xml:space="preserve">Zitiervorschlag: § 78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