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ERegG — Wissenschaftliche Beratung der Regulierungsbehörde</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(1) Die Regulierungsbehörde kann zur Vorbereitung ihrer Entscheidungen oder zur Begutachtung von Fragen der Regulierung wissenschaftliche Kommissionen einsetzen. Die Mitglieder der Kommissionen müssen auf dem Gebiet des Eisenbahnverkehrs über ausgewiesene volkswirtschaftliche, betriebswirtschaftliche, technologische oder rechtliche Erfahrungen und wissenschaftliche Erkenntnisse verfügen.</w:t>
      </w:r>
    </w:p>
    <w:p>
      <w:r>
        <w:t xml:space="preserve">(2) Die Regulierungsbehörde kann sich bei der Erfüllung ihrer Aufgaben fortlaufend wissenschaftlich beraten lassen, insbesondere bei der Aufbereitung und Weiterentwicklung der wissenschaftlichen Grundlagen für die Überwachung der Vorschriften des Eisenbahnrechts über den Zugang zur Infrastruktur.</w:t>
      </w:r>
    </w:p>
    <w:p>
      <w:r>
        <w:t xml:space="preserve">(3) § 4 gilt entsprechend.</w:t>
      </w:r>
    </w:p>
    <w:p>
      <w:r>
        <w:rPr>
          <w:color w:val="555555"/>
          <w:sz w:val="17"/>
        </w:rPr>
        <w:t xml:space="preserve">Zitiervorschlag: § 74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