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ERegG — Besondere Unterrichtungspflichten der Eisenbahninfrastrukturunternehmen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Stand: 24.06.2021 (konsolidierte Textfassung, kein amtliches Inkrafttretensdatum)</w:t>
      </w:r>
    </w:p>
    <w:p>
      <w:r>
        <w:t xml:space="preserve">Alle Eisenbahninfrastrukturunternehmen haben die Regulierungsbehörde unter Angabe der maßgeblichen Gründe unverzüglich zu unterrichten über</w:t>
      </w:r>
    </w:p>
    <w:p>
      <w:pPr>
        <w:ind w:left="420"/>
      </w:pPr>
      <w:r>
        <w:t xml:space="preserve">1. die beabsichtigte Entscheidung über die Zuweisung von Zugtrassen für den Netzfahrplan einschließlich des Mindestzugangspakets, sofern Anträge ganz oder teilweise abgelehnt werden sollen,</w:t>
      </w:r>
    </w:p>
    <w:p>
      <w:pPr>
        <w:ind w:left="420"/>
      </w:pPr>
      <w:r>
        <w:t xml:space="preserve">2. die beabsichtigte Entscheidung über die Zuweisung von Zugtrassen einschließlich des Mindestzugangspakets außerhalb der Erstellung des Netzfahrplans, sofern Anträge ganz oder teilweise abgelehnt werden sollen,</w:t>
      </w:r>
    </w:p>
    <w:p>
      <w:pPr>
        <w:ind w:left="420"/>
      </w:pPr>
      <w:r>
        <w:t xml:space="preserve">3. die beabsichtigte Entscheidung über den Zugang zu Serviceeinrichtungen einschließlich der damit verbundenen Leistungen, sofern Anträge ganz oder teilweise abgelehnt werden sollen,</w:t>
      </w:r>
    </w:p>
    <w:p>
      <w:pPr>
        <w:ind w:left="420"/>
      </w:pPr>
      <w:r>
        <w:t xml:space="preserve">4. die beabsichtigte Entscheidung über die Ablehnung eines Rahmenvertrages,</w:t>
      </w:r>
    </w:p>
    <w:p>
      <w:pPr>
        <w:ind w:left="420"/>
      </w:pPr>
      <w:r>
        <w:t xml:space="preserve">5. die beabsichtigte Neufassung oder Änderung von Schienennetz-Nutzungsbedingungen und von Nutzungsbedingungen für Serviceeinrichtungen einschließlich der jeweils vorgesehenen Entgeltgrundsätze und Entgelthöhen,</w:t>
      </w:r>
    </w:p>
    <w:p>
      <w:pPr>
        <w:ind w:left="420"/>
      </w:pPr>
      <w:r>
        <w:t xml:space="preserve">6. die beabsichtigte Festlegung von Zugtrassen im Sinne des Artikels 14 Absatz 3 der Verordnung (EU) Nr. 913/2010 und</w:t>
      </w:r>
    </w:p>
    <w:p>
      <w:pPr>
        <w:ind w:left="420"/>
      </w:pPr>
      <w:r>
        <w:t xml:space="preserve">7. die beabsichtigte Entscheidung über die Verteilung der eingeschränkten Schienenwegkapazität im Sinne des § 44 Absatz 1.</w:t>
      </w:r>
    </w:p>
    <w:p>
      <w:r>
        <w:t xml:space="preserve">Als teilweise Ablehnung im Sinne des Satzes 1 Nummer 1 bis 3 gelten nicht solche Veränderungen von Inhalten der Anmeldung, die im Rahmen eines Verfahrens nach § 52 oder nach Artikel 10 der Durchführungsverordnung (EU) 2017/2177 einvernehmlich erfolgen. Die Regulierungsbehörde kann Festlegungen zur Ausgestaltung der Unterrichtungen aus Satz 1 treffen. Die Unterrichtungspflicht nach Satz 1 Nummer 5 entfällt bei zu genehmigenden Entgelten und Entgeltgrundsätzen. Die Regelungen in Satz 1 Nummer 1 und 2 gelten entsprechend für die Zuweisung von Zugtrassen im Sinne des Artikels 14 Absatz 3 der Verordnung (EU) Nr. 913/2010.</w:t>
      </w:r>
    </w:p>
    <w:p>
      <w:r>
        <w:rPr>
          <w:color w:val="555555"/>
          <w:sz w:val="17"/>
        </w:rPr>
        <w:t xml:space="preserve">Zitiervorschlag: § 72 ERegG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