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ERegG — Berichtspflichten</w:t>
      </w:r>
    </w:p>
    <w:p>
      <w:r>
        <w:rPr>
          <w:color w:val="555555"/>
          <w:sz w:val="18"/>
        </w:rPr>
        <w:t xml:space="preserve">Eisenbahnregulierungsgesetz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Regulierungsbehörde legt den gesetzgebenden Körperschaften des Bundes in den Jahren, in denen ein Gutachten der Monopolkommission nach § 78 erstellt wird, einen Bericht über ihre Tätigkeit sowie über die Lage und Entwicklung auf ihrem Aufgabengebiet Eisenbahnen vor, der eine Darstellung der Entwicklung des Eisenbahnmarktes mit den wesentlichen Marktdaten enthält.</w:t>
      </w:r>
    </w:p>
    <w:p>
      <w:r>
        <w:rPr>
          <w:color w:val="555555"/>
          <w:sz w:val="17"/>
        </w:rPr>
        <w:t xml:space="preserve">Zitiervorschlag: § 71 ERegG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https://recht.nulegal.eu/gesetze/ERegG/71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