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ERegG — Bericht der Regulierungsbehörde zum Markt für Wartungseinrichtungen</w:t>
      </w:r>
    </w:p>
    <w:p>
      <w:r>
        <w:rPr>
          <w:color w:val="555555"/>
          <w:sz w:val="18"/>
        </w:rPr>
        <w:t xml:space="preserve">Eisenbahnregulierungsgesetz</w:t>
      </w:r>
    </w:p>
    <w:p>
      <w:r>
        <w:rPr>
          <w:color w:val="555555"/>
          <w:sz w:val="18"/>
        </w:rPr>
        <w:t xml:space="preserve">Außer Kraft: § 64 ist seit 24.06.2021 nicht mehr im ERegG enthalten. Angezeigt wird die letzte bekannte Fassung, Stand 10.06.2019.</w:t>
      </w:r>
    </w:p>
    <w:p>
      <w:r>
        <w:t xml:space="preserve">Die Regulierungsbehörde erstellt nach Maßgabe des § 65 zum 31. Dezember 2018 einen Bericht für die Bundesregierung zur Frage, ob auf den Märkten für Wartungseinrichtungen Verhältnisse bestehen, die einem unverfälschten Wettbewerb entsprechen.</w:t>
      </w:r>
    </w:p>
    <w:p>
      <w:r>
        <w:rPr>
          <w:color w:val="555555"/>
          <w:sz w:val="17"/>
        </w:rPr>
        <w:t xml:space="preserve">Zitiervorschlag: § 64 ERegG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https://recht.nulegal.eu/gesetze/ERegG/64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