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ERegG — Ausnahmen vom Anwendungsbereich für Betreiber einer Wartungseinrichtung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Außer Kraft: § 63 ist seit 24.06.2021 nicht mehr im ERegG enthalten. Angezeigt wird die letzte bekannte Fassung, Stand 10.06.2019.</w:t>
      </w:r>
    </w:p>
    <w:p>
      <w:r>
        <w:t xml:space="preserve">(1) § 19 Absatz 4 ist auf Wartungseinrichtungen mit der Maßgabe anzuwenden, dass ausschließlich Bestimmungen zur Betriebssicherheit nach § 21 aufzustellen sind.</w:t>
      </w:r>
    </w:p>
    <w:p>
      <w:r>
        <w:t xml:space="preserve">(2) § 13 Absatz 4 Satz 1, soweit dieser die Begründung der ablehnenden Entscheidung betrifft, und § 32 sind auf die Betreiber der Wartungseinrichtungen nicht anzuwenden.</w:t>
      </w:r>
    </w:p>
    <w:p>
      <w:r>
        <w:rPr>
          <w:color w:val="555555"/>
          <w:sz w:val="17"/>
        </w:rPr>
        <w:t xml:space="preserve">Zitiervorschlag: § 63 ERegG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