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ERegG — Schienenwegkapazität für Instandhaltungsarbeiten</w:t>
      </w:r>
    </w:p>
    <w:p>
      <w:r>
        <w:rPr>
          <w:color w:val="555555"/>
          <w:sz w:val="18"/>
        </w:rPr>
        <w:t xml:space="preserve">Eisenbahnregulierungsgesetz</w:t>
      </w:r>
    </w:p>
    <w:p>
      <w:r>
        <w:rPr>
          <w:color w:val="555555"/>
          <w:sz w:val="18"/>
        </w:rPr>
        <w:t xml:space="preserve">Stand: 18.07.2019 (konsolidierte Textfassung, kein amtliches Inkrafttretensdatum)</w:t>
      </w:r>
    </w:p>
    <w:p>
      <w:r>
        <w:t xml:space="preserve">(1) Die Vorhaltung von Schienenwegkapazität für Instandhaltungszwecke ist im Rahmen der Netzfahrplanerstellung zu berücksichtigen.</w:t>
      </w:r>
    </w:p>
    <w:p>
      <w:r>
        <w:t xml:space="preserve">(2) Der Betreiber der Schienenwege muss die Vorhaltung von Schienenwegkapazität für regelmäßige Schienenweginstandhaltungsarbeiten so planen, dass Zugangsberechtigte möglichst wenig beeinträchtigt werden.</w:t>
      </w:r>
    </w:p>
    <w:p>
      <w:r>
        <w:t xml:space="preserve">(3) Der Betreiber der Schienenwege unterrichtet die Zugangsberechtigten unverzüglich, nachdem er die entsprechende Kenntnis erlangt hat, über die Nichtverfügbarkeit von Schienenwegkapazität als Folge außerplanmäßiger Instandhaltungsarbeiten. Die Regulierungsbehörde kann vom Betreiber der Schienenwege verlangen, dass ihr die Informationen nach Satz 1 ebenfalls zur Verfügung gestellt werden.</w:t>
      </w:r>
    </w:p>
    <w:p>
      <w:r>
        <w:rPr>
          <w:color w:val="555555"/>
          <w:sz w:val="17"/>
        </w:rPr>
        <w:t xml:space="preserve">Zitiervorschlag: § 61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