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ERegG — Nutzung von Zugtrassen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Ein Betreiber der Schienenwege muss in den Schienennetz-Nutzungsbedingungen Bedingungen festlegen, anhand derer er dem Grad der bisherigen Inanspruchnahme von vereinbarten Zugtrassen bei der Festlegung von Rangfolgen im Zuweisungsverfahren Rechnung trägt.</w:t>
      </w:r>
    </w:p>
    <w:p>
      <w:r>
        <w:t xml:space="preserve">(2) Wird das Recht auf Nutzung von Zugtrassen aus einer Vereinbarung nach § 20 Absatz 1 innerhalb eines Monats nach Beginn einer Netzfahrplanperiode oder dem vereinbarten Benutzungsbeginn ganz oder teilweise aus Gründen nicht wahrgenommen, die der Zugangsberechtigte zu vertreten hat, kann der Betreiber der Schienenwege insoweit die Vereinbarung mit sofortiger Wirkung kündigen. Ist die Kündigung noch nicht erfolgt und stellt ein dritter Zugangsberechtigter einen Antrag auf die Zuweisung dieser Schienenwegkapazität, ist das Angebot dem Dritten gegenüber unter der aufschiebenden Bedingung der Kündigung zu machen. Hat der Dritte das Angebot nach Satz 2 angenommen, muss der Betreiber der Schienenwege die in Satz 1 genannte Vereinbarung insoweit kündigen. Der Zugangsberechtigte, dem nach Satz 3 gekündigt wurde, bleibt zum Ersatz des durch die Beendigung des Vertrags entstehenden Schadens verpflichtet; § 40 ist anzuwenden.</w:t>
      </w:r>
    </w:p>
    <w:p>
      <w:r>
        <w:t xml:space="preserve">(2a) Wird eine Zugtrasse nach Durchführung des Verfahrens gemäß § 52 Absatz 7 oder 8 vergeben, teilt der Betreiber der Schienenwege den unterlegenen Zugangsberechtigten mit, wenn eine Kündigung nach Absatz 2 Satz 1 erfolgt ist.</w:t>
      </w:r>
    </w:p>
    <w:p>
      <w:r>
        <w:t xml:space="preserve">(3) Der Betreiber der Schienenwege hat insbesondere bei überlasteten Schienenwegen die Aufgabe von Zugtrassen zu verlangen, die in einem Zeitraum von mindestens einem Monat unterhalb eines in den Schienennetz-Nutzungsbedingungen festzulegenden Schwellenwerts genutzt wurden, es sei denn, dass dies auf nichtwirtschaftliche Gründe zurückzuführen ist, die sich dem Einfluss des Zugangsberechtigten entziehen.</w:t>
      </w:r>
    </w:p>
    <w:p>
      <w:r>
        <w:rPr>
          <w:color w:val="555555"/>
          <w:sz w:val="17"/>
        </w:rPr>
        <w:t xml:space="preserve">Zitiervorschlag: § 60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