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ERegG — Netzfahrplanerstellung, Konsultationsverfahren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Ein Betreiber der Schienenwege muss spätestens vier Monate nach Ablauf der in § 51 Absatz 1 Satz 2 genannten Frist einen vorläufigen Netzfahrplanentwurf erstellen. Er hat die Beteiligten zum vorläufigen Netzfahrplanentwurf anzuhören und ihnen zur Stellungnahme eine Frist von mindestens einem Monat einzuräumen. Beabsichtigte Ablehnungen von Anträgen sind zu begründen. Beteiligte im Sinne des Satzes 2 sind alle Zugangsberechtigten, die Schienenwegkapazität nachgefragt haben, sowie Dritte, die zu etwaigen Auswirkungen des Netzfahrplans auf ihre Möglichkeiten zur Inanspruchnahme von Eisenbahnverkehrsdiensten in der betreffenden Netzfahrplanperiode Stellung nehmen möchten.</w:t>
      </w:r>
    </w:p>
    <w:p>
      <w:r>
        <w:t xml:space="preserve">(2) Der Betreiber der Schienenwege hat berechtigten Beanstandungen am vorläufigen Netzfahrplanentwurf innerhalb einer festzulegenden Frist, die nach § 19 Absatz 5 in den Schienennetz-Nutzungsbedingungen zu veröffentlichen ist, Rechnung zu tragen.</w:t>
      </w:r>
    </w:p>
    <w:p>
      <w:r>
        <w:t xml:space="preserve">(3) Nach Ablauf der Frist steht der endgültige Netzfahrplanentwurf fest.</w:t>
      </w:r>
    </w:p>
    <w:p>
      <w:r>
        <w:rPr>
          <w:color w:val="555555"/>
          <w:sz w:val="17"/>
        </w:rPr>
        <w:t xml:space="preserve">Zitiervorschlag: § 53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