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52a ERegG — Pilotprojekte zur Erprobung neuer Modelle der Kapazitätsnutzung und der Fahrplanerstellung sowie des Deutschlandtakts; Verordnungsermächtigung</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Das Bundesministerium für Verkehr und digitale Infrastruktur wird ermächtigt, mit Zustimmung des Bundesrates durch Rechtsverordnung Schienenwege festzulegen, auf denen Pilotprojekte zur Erprobung verschiedener neuer Modelle der Kapazitätsnutzung und der Fahrplanerstellung durchgeführt werden. Dies dient insbesondere der Erprobung von Modellen im Hinblick auf den geplanten Deutschlandtakt sowie auf europäischer Ebene der Ermöglichung von Projekten im Rahmen des Projektes Redesign of the International Timetabling Process. Die Festlegung gemäß Satz 1 kann mit Vorgaben verbunden werden, insbesondere</w:t>
      </w:r>
    </w:p>
    <w:p>
      <w:pPr>
        <w:ind w:left="420"/>
      </w:pPr>
      <w:r>
        <w:t xml:space="preserve">1. wie das Verfahren zur Aufstellung des Kapazitätsnutzungsplans unbeschadet des § 19 nach Absatz 2 auszugestalten ist,</w:t>
      </w:r>
    </w:p>
    <w:p>
      <w:pPr>
        <w:ind w:left="420"/>
      </w:pPr>
      <w:r>
        <w:t xml:space="preserve">2. wie für die ausgewählten Schienenwege eine Mittelfristperspektive für die Kapazitätsnutzung über die Laufzeit der Pilotprojekte aussehen kann und</w:t>
      </w:r>
    </w:p>
    <w:p>
      <w:pPr>
        <w:ind w:left="420"/>
      </w:pPr>
      <w:r>
        <w:t xml:space="preserve">3. welchen Bedingungen die Konstruktionsparameter unbeschadet des Absatzes 2 Satz 6 zu genügen haben.</w:t>
      </w:r>
    </w:p>
    <w:p>
      <w:r>
        <w:t xml:space="preserve">In der Verordnung können auch Vorgaben zur Laufzeit der Pilotprojekte sowie zur Berücksichtigung der Bedarfe und des gesellschaftlichen Nutzens der jeweiligen Verkehrsdienste gemäß Absatz 2 getroffen werden.</w:t>
      </w:r>
    </w:p>
    <w:p>
      <w:r>
        <w:t xml:space="preserve">(2) Für nach Absatz 1 festgelegte Schienenwege hat der Betreiber der Schienenwege jeweils einen Kapazitätsnutzungsplan aufzustellen. Der Betreiber der Schienenwege darf dabei von den Vorgaben der §§ 52, 55 und 57 abweichen. In dem Kapazitätsnutzungsplan sind die Kapazitäten auf die einzelnen Verkehrsdienste entsprechend ihren Bedarfen zu verteilen. Übersteigen die Bedarfe die Kapazitäten, ist bei der Kapazitätsverteilung zusätzlich der gesellschaftliche Nutzen der jeweiligen Verkehrsdienste zu berücksichtigen. § 56 Absatz 3 bleibt unberührt. Der Betreiber der Schienenwege hat bei der Festlegung der Konstruktionsparameter darauf zu achten, dass diese einem wirksamen Wettbewerb nicht entgegenstehen. In dem Kapazitätsnutzungsplan sind ferner unter Berücksichtigung der Ziele des § 3 die im Rahmen der Erstellung des Netzfahrplans maßgeblichen Einzelheiten des Koordinierungs- und Streitbeilegungsverfahrens zu regeln.</w:t>
      </w:r>
    </w:p>
    <w:p>
      <w:r>
        <w:t xml:space="preserve">(3) Ein Kapazitätsnutzungsplan gilt jeweils für die Dauer einer Netzfahrplanperiode und ist in den Schienennetz-Nutzungsbedingungen nach § 19 zu veröffentlichen.</w:t>
      </w:r>
    </w:p>
    <w:p>
      <w:r>
        <w:rPr>
          <w:color w:val="555555"/>
          <w:sz w:val="17"/>
        </w:rPr>
        <w:t xml:space="preserve">Zitiervorschlag: § 52a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