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ERegG — Netzfahrplanerstellung, Koordinierungsverfahren, Streitbeilegungsverfahren</w:t>
      </w:r>
    </w:p>
    <w:p>
      <w:r>
        <w:rPr>
          <w:color w:val="555555"/>
          <w:sz w:val="18"/>
        </w:rPr>
        <w:t xml:space="preserve">Eisenbahnregulierungsgesetz</w:t>
      </w:r>
    </w:p>
    <w:p>
      <w:r>
        <w:rPr>
          <w:color w:val="555555"/>
          <w:sz w:val="18"/>
        </w:rPr>
        <w:t xml:space="preserve">Stand: 24.06.2021 (konsolidierte Textfassung, kein amtliches Inkrafttretensdatum)</w:t>
      </w:r>
    </w:p>
    <w:p>
      <w:r>
        <w:t xml:space="preserve">(1) Ein Betreiber der Schienenwege muss, soweit ihm dies möglich ist, allen Anträgen auf Zuweisung von Schienenwegkapazität, einschließlich der Anträge auf netzübergreifende Zugtrassen, stattgeben.</w:t>
      </w:r>
    </w:p>
    <w:p>
      <w:r>
        <w:t xml:space="preserve">(2) Ein Betreiber der Schienenwege darf lediglich in den in § 55 und § 57 bestimmten Fällen besonderen Verkehrsarten im Netzfahrplanerstellungs- und Koordinierungsverfahren Vorrang einräumen.</w:t>
      </w:r>
    </w:p>
    <w:p>
      <w:r>
        <w:t xml:space="preserve">(3) Ergeben sich bei der Netzfahrplanerstellung Unvereinbarkeiten zwischen verschiedenen Anträgen, so hat der Betreiber der Schienenwege die Anträge zu koordinieren, um alle Erfordernisse zu erfüllen und allen Anträgen im Rahmen der Koordinierung stattzugeben, soweit dies möglich ist.</w:t>
      </w:r>
    </w:p>
    <w:p>
      <w:r>
        <w:t xml:space="preserve">(4) Der Betreiber der Schienenwege hat das Recht, innerhalb vertretbarer Grenzen Schienenwegkapazität anzubieten, die von der beantragten Kapazität abweicht.</w:t>
      </w:r>
    </w:p>
    <w:p>
      <w:r>
        <w:t xml:space="preserve">(5) Der Betreiber der Schienenwege hat durch Verhandlungen mit den Zugangsberechtigten auf einvernehmliche Lösungen hinzuwirken. Zu diesem Zweck hat er die folgenden Informationen den betroffenen Zugangsberechtigten innerhalb einer angemessenen Frist unentgeltlich und schriftlich oder elektronisch offenzulegen:</w:t>
      </w:r>
    </w:p>
    <w:p>
      <w:pPr>
        <w:ind w:left="420"/>
      </w:pPr>
      <w:r>
        <w:t xml:space="preserve">1. die von den übrigen Zugangsberechtigten auf denselben Strecken beantragten Zugtrassen;</w:t>
      </w:r>
    </w:p>
    <w:p>
      <w:pPr>
        <w:ind w:left="420"/>
      </w:pPr>
      <w:r>
        <w:t xml:space="preserve">2. die den übrigen Zugangsberechtigten auf denselben Strecken vorläufig zugewiesenen Zugtrassen;</w:t>
      </w:r>
    </w:p>
    <w:p>
      <w:pPr>
        <w:ind w:left="420"/>
      </w:pPr>
      <w:r>
        <w:t xml:space="preserve">3. die auf den betreffenden Strecken nach Absatz 2 vorgeschlagenen alternativen Zugtrassen und</w:t>
      </w:r>
    </w:p>
    <w:p>
      <w:pPr>
        <w:ind w:left="420"/>
      </w:pPr>
      <w:r>
        <w:t xml:space="preserve">4. vollständige Angaben zu den bei der Zuweisung von Schienenwegkapazität verwendeten Kriterien.</w:t>
      </w:r>
    </w:p>
    <w:p>
      <w:r>
        <w:t xml:space="preserve">Diese Informationen werden nach Maßgabe des § 4 bereitgestellt, ohne dass die Identität anderer Zugangsberechtigter offengelegt wird, es sei denn, die Zugangsberechtigten haben einer Offenlegung zugestimmt.</w:t>
      </w:r>
    </w:p>
    <w:p>
      <w:r>
        <w:t xml:space="preserve">(6) Die Grundsätze des Koordinierungsverfahrens sind in die Schienennetz-Nutzungsbedingungen aufzunehmen. Sie tragen insbesondere</w:t>
      </w:r>
    </w:p>
    <w:p>
      <w:pPr>
        <w:ind w:left="420"/>
      </w:pPr>
      <w:r>
        <w:t xml:space="preserve">1. der Schwierigkeit, grenzüberschreitende Zugtrassen zu vereinbaren, und</w:t>
      </w:r>
    </w:p>
    <w:p>
      <w:pPr>
        <w:ind w:left="420"/>
      </w:pPr>
      <w:r>
        <w:t xml:space="preserve">2. den Auswirkungen etwaiger Änderungen auf andere Betreiber der Schienenwege</w:t>
      </w:r>
    </w:p>
    <w:p>
      <w:r>
        <w:t xml:space="preserve">Rechnung.</w:t>
      </w:r>
    </w:p>
    <w:p>
      <w:r>
        <w:t xml:space="preserve">(7) Unbeschadet der bestehenden Rechtsbehelfe und des § 66 hat jeder Betreiber der Schienenwege für Streitfälle in Bezug auf die Zuweisung von Schienenwegkapazität ein Verfahren vorzusehen, das geeignet ist, Streitigkeiten rasch beilegen zu können. Danach soll der Betreiber der Schienenwege vorbehaltlich der sich aus § 49 ergebenden Rechte der Zugangsberechtigten und vorbehaltlich der Bestimmungen der §§ 55 und 57 nach Maßgabe folgender Reihenfolge entscheiden:</w:t>
      </w:r>
    </w:p>
    <w:p>
      <w:pPr>
        <w:ind w:left="420"/>
      </w:pPr>
      <w:r>
        <w:t xml:space="preserve">1. vertakteter oder ins Netz eingebundener Verkehr,</w:t>
      </w:r>
    </w:p>
    <w:p>
      <w:pPr>
        <w:ind w:left="420"/>
      </w:pPr>
      <w:r>
        <w:t xml:space="preserve">2. grenzüberschreitende Zugtrassen,</w:t>
      </w:r>
    </w:p>
    <w:p>
      <w:pPr>
        <w:ind w:left="420"/>
      </w:pPr>
      <w:r>
        <w:t xml:space="preserve">3. Zugtrassen für den Güterverkehr.</w:t>
      </w:r>
    </w:p>
    <w:p>
      <w:r>
        <w:t xml:space="preserve">Abweichungen von dieser Reihenfolge sind insbesondere aus Gründen der sicheren Durchführung von Zugfahrten möglich. Bei seiner Entscheidung hat der Betreiber der Schienenwege die Auswirkungen auf andere Betreiber der Schienenwege angemessen zu berücksichtigen.</w:t>
      </w:r>
    </w:p>
    <w:p>
      <w:r>
        <w:t xml:space="preserve">(8) Bei einer Entscheidung zwischen gleichrangigen Verkehren im Sinne des Absatzes 7 Satz 2 hat der Betreiber der Schienenwege die Entgelte für die streitigen Zugtrassen gegenüberzustellen und</w:t>
      </w:r>
    </w:p>
    <w:p>
      <w:pPr>
        <w:ind w:left="420"/>
      </w:pPr>
      <w:r>
        <w:t xml:space="preserve">1. bei einem Konflikt zwischen zwei Zugtrassen der Zugtrasse den Vorrang einzuräumen, bei der das höchste Regelentgelt zu erzielen ist,</w:t>
      </w:r>
    </w:p>
    <w:p>
      <w:pPr>
        <w:ind w:left="420"/>
      </w:pPr>
      <w:r>
        <w:t xml:space="preserve">2. bei einem Konflikt zwischen mehr als zwei Zugtrassen den Zugtrassen den Vorrang einzuräumen, bei denen in der Summe das höchste Regelentgelt zu erzielen ist.</w:t>
      </w:r>
    </w:p>
    <w:p>
      <w:r>
        <w:t xml:space="preserve">Ist zwischen vertaktetem Schienenpersonennahverkehr und anderem Verkehr nach Absatz 7 zu entscheiden, kann der Betreiber der Schienenwege abweichend von Satz 1 dem vertakteten Schienenpersonennahverkehr den Vorrang einräumen. Ist eine Entscheidung auf dieser Grundlage nicht möglich, muss der Betreiber der Schienenwege die Zugangsberechtigten auffordern, innerhalb von fünf Arbeitstagen ein Entgelt anzubieten, das über dem Entgelt liegt, das auf der Grundlage der Schienennetz-Nutzungsbedingungen zu zahlen wäre. Die Angebote dürfen dem Betreiber der Schienenwege ausschließlich über die Regulierungsbehörde zugeleitet werden, die die übrigen Bieter nach Ablauf der Frist von fünf Arbeitstagen über die Angebote und deren Höhe informiert. Der Betreiber der Schienenwege hat gegenüber dem Zugangsberechtigten, der das höchste Entgelt zu zahlen bereit ist, das Angebot nach § 54 zu machen. Entgeltnachlässe sind in diesen Fällen unzulässig. Ergänzungen und Abweichungen hat der Betreiber der Schienenwege in die Schienennetz-Nutzungsbedingungen aufzunehmen. Gelangt dieses System zur Anwendung, muss innerhalb von zehn Arbeitstagen eine Entscheidung getroffen werden.</w:t>
      </w:r>
    </w:p>
    <w:p>
      <w:r>
        <w:t xml:space="preserve">(9) Das Regelentgelt im Sinne von Absatz 8 beinhaltet nicht umweltbezogene Aufschläge oder Abschläge nach § 35 Absatz 2, insbesondere keine Entgeltdifferenzierung nach Lärmauswirkungen.</w:t>
      </w:r>
    </w:p>
    <w:p>
      <w:r>
        <w:t xml:space="preserve">(10) Im Verfahren nach Absatz 8 Satz 2 bis 6 gilt das höchste Entgelt als das genehmigte Entgelt.</w:t>
      </w:r>
    </w:p>
    <w:p>
      <w:r>
        <w:rPr>
          <w:color w:val="555555"/>
          <w:sz w:val="17"/>
        </w:rPr>
        <w:t xml:space="preserve">Zitiervorschlag: § 52 ERegG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https://recht.nulegal.eu/gesetze/ERegG/52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