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ERegG — Antragstellung</w:t>
      </w:r>
    </w:p>
    <w:p>
      <w:r>
        <w:rPr>
          <w:color w:val="555555"/>
          <w:sz w:val="18"/>
        </w:rPr>
        <w:t xml:space="preserve">Eisenbahnregulierungsgesetz</w:t>
      </w:r>
    </w:p>
    <w:p>
      <w:r>
        <w:rPr>
          <w:color w:val="555555"/>
          <w:sz w:val="18"/>
        </w:rPr>
        <w:t xml:space="preserve">Stand: 24.06.2021 (konsolidierte Textfassung, kein amtliches Inkrafttretensdatum)</w:t>
      </w:r>
    </w:p>
    <w:p>
      <w:r>
        <w:t xml:space="preserve">(1) Die Zuweisung von Schienenwegkapazität hat der Zugangsberechtigte bei dem Betreiber der Schienenwege zu beantragen, dessen Netz genutzt werden soll. Die Frist für den Eingang der Anträge auf Zuweisung von Schienenwegkapazität im Netzfahrplan endet am zweiten Montag im April um 24 Uhr. Zur Nutzung der Schienenwegkapazität benennt der Zugangsberechtigte, der kein Eisenbahnverkehrsunternehmen ist, bei Antragstellung ein Eisenbahnverkehrsunternehmen, das den angemeldeten Verkehr durchführen soll. Abweichend von Satz 3 kann der Betreiber der Schienenwege in seinen Schienennetz-Nutzungsbedingungen eine Frist für die Benennung des Eisenbahnverkehrsunternehmens vorsehen; dies soll er insbesondere für Zugtrassen eines Korridors im Sinne der Verordnung (EU) Nr. 913/2010 des Europäischen Parlaments und des Rates vom 22. September 2010 zur Schaffung eines europäischen Schienennetzes für einen wettbewerbsfähigen Güterverkehr (ABl. L 276 vom 20.10.2010, S. 22) und für Schienenwegkapazität außerhalb eines Korridors, wenn diese im Vor- oder Nachlauf unmittelbar an eine Zugtrasse eines Korridors anschließt, vorsehen. Die vertraglichen Vereinbarungen richten sich nach den §§ 20 und 21.</w:t>
      </w:r>
    </w:p>
    <w:p>
      <w:r>
        <w:t xml:space="preserve">(2) Ein Zugangsberechtigter, der Vertragspartei eines Rahmenvertrags ist, hat entsprechend den rahmenvertraglich vereinbarten Bandbreiten seinen Bedarf an Schienenwegkapazität anzumelden.</w:t>
      </w:r>
    </w:p>
    <w:p>
      <w:r>
        <w:t xml:space="preserve">(3) Im Falle netzübergreifender Zugtrassen haben die betroffenen Betreiber der Schienenwege gemeinsam sicherzustellen, dass sich alle Zugangsberechtigten an eine einzige Anlaufstelle wenden können, bei der es sich entweder um eine von den Betreibern der Schienenwege eingerichtete gemeinsame Stelle oder um einen einzelnen an der Zugtrasse beteiligten Betreiber der Schienenwege handelt. Der jeweilige Betreiber der Schienenwege oder die von den Betreibern der Schienenwege eingerichtete gemeinsame Stelle ist berechtigt, bei den anderen beteiligten Betreibern der Schienenwege im Auftrag des Zugangsberechtigten um Schienenwegkapazität nachzusuchen. Die Verordnung (EU) Nr. 913/2010 bleibt unberührt.</w:t>
      </w:r>
    </w:p>
    <w:p>
      <w:r>
        <w:t xml:space="preserve">(4) Einen Antrag auf Zuweisung von Zugtrassen kann der Zugangsberechtigte bei dem Betreiber der Schienenwege jederzeit stellen, soweit nichts anderes bestimmt ist. Der Antrag hat alle Angaben zu enthalten, die nach den Schienennetz-Nutzungsbedingungen erforderlich sind, um über den Antrag zu entscheiden. Der Betreiber der Schienenwege hat von dem Zugangsberechtigten fehlende Angaben unverzüglich nachzufordern. Die Sätze 1 bis 3 gelten entsprechend für die in Anlage 2 Nummer 1 und 2 beschriebenen Leistungen.</w:t>
      </w:r>
    </w:p>
    <w:p>
      <w:r>
        <w:rPr>
          <w:color w:val="555555"/>
          <w:sz w:val="17"/>
        </w:rPr>
        <w:t xml:space="preserve">Zitiervorschlag: § 51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