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ERegG — Rechte an Schienenwegkapazität</w:t>
      </w:r>
    </w:p>
    <w:p>
      <w:r>
        <w:rPr>
          <w:color w:val="555555"/>
          <w:sz w:val="18"/>
        </w:rPr>
        <w:t xml:space="preserve">Eisenbahnregulierungsgesetz</w:t>
      </w:r>
    </w:p>
    <w:p>
      <w:r>
        <w:rPr>
          <w:color w:val="555555"/>
          <w:sz w:val="18"/>
        </w:rPr>
        <w:t xml:space="preserve">Stand: 18.07.2019 (konsolidierte Textfassung, kein amtliches Inkrafttretensdatum)</w:t>
      </w:r>
    </w:p>
    <w:p>
      <w:r>
        <w:t xml:space="preserve">(1) Der jeweilige Betreiber der Schienenwege hat dem jeweiligen Zugangsberechtigten Schienenwegkapazität nach § 44 zuzuweisen. Nach der Zuweisung an den Zugangsberechtigten darf die Schienenwegkapazität von diesem nicht auf Dritte übertragen werden.</w:t>
      </w:r>
    </w:p>
    <w:p>
      <w:r>
        <w:t xml:space="preserve">(2) Jeder Handel mit zugewiesenen Schienenwegkapazitäten ist verboten.</w:t>
      </w:r>
    </w:p>
    <w:p>
      <w:r>
        <w:t xml:space="preserve">(3) Die Nutzung von Schienenwegkapazität durch ein Eisenbahnverkehrsunternehmen, das die Geschäfte eines Zugangsberechtigten wahrnimmt, der kein Eisenbahnverkehrsunternehmen ist, gilt nicht als Übertragung.</w:t>
      </w:r>
    </w:p>
    <w:p>
      <w:r>
        <w:t xml:space="preserve">(4) Das Recht, besondere Schienenwegkapazität in Form einer Zugtrasse in Anspruch zu nehmen, kann der Betreiber der Schienenwege Zugangsberechtigten längstens für die Dauer einer Netzfahrplanperiode zuerkennen.</w:t>
      </w:r>
    </w:p>
    <w:p>
      <w:r>
        <w:t xml:space="preserve">(5) Ein Betreiber der Schienenwege und ein Zugangsberechtigter können nach § 49 einen Rahmenvertrag über die Nutzung von Schienenwegkapazität in dem Netz des Betreibers der Schienenwege schließen, der eine Laufzeit von mehr als einer Netzfahrplanperiode hat.</w:t>
      </w:r>
    </w:p>
    <w:p>
      <w:r>
        <w:t xml:space="preserve">(6) Beabsichtigt der Zugangsberechtigte, Schienenwegkapazität mit dem Ziel zu beantragen, einen Personenverkehrsdienst in einem Mitgliedstaat der Europäischen Union zu betreiben, in dem das Recht auf Zugang zur Eisenbahninfrastruktur gemäß Artikel 11 der Richtlinie 2012/34/EU eingeschränkt ist, so muss er die betroffenen Betreiber der Schienenwege und die betroffenen Regulierungsbehörden mindestens 18 Monate vor Inkrafttreten des Netzfahrplans, auf den sich der Antrag auf Fahrwegkapazität bezieht, davon in Kenntnis setzen. Soweit die deutsche Regulierungsbehörde die Entscheidung trifft, bewertet sie die möglichen wirtschaftlichen Auswirkungen auf bestehende öffentliche Dienstleistungsaufträge.</w:t>
      </w:r>
    </w:p>
    <w:p>
      <w:r>
        <w:rPr>
          <w:color w:val="555555"/>
          <w:sz w:val="17"/>
        </w:rPr>
        <w:t xml:space="preserve">Zitiervorschlag: § 42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