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ERegG — Betriebs- und Geschäftsgeheimnisse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nach diesem Gesetz in einem Verfahren Angaben gegenüber einem Dritten zu machen, so hat der Dritte Betriebs- und Geschäftsgeheimnisse zu wahren. Er ist auf die Betriebs- und Geschäftsgeheimnisse und die Pflicht zu deren Wahrung besonders hinzuweisen.</w:t>
      </w:r>
    </w:p>
    <w:p>
      <w:r>
        <w:t xml:space="preserve">(2) Absatz 1 gilt im Rahmen der nach diesem Gesetz übertragenen Aufgaben nicht gegenüber der Regulierungsbehörde und den Eisenbahnaufsichtsbehörden, soweit für diese die Kenntnis der Betriebs- und Geschäftsgeheimnisse im Rahmen ihrer jeweiligen Aufgabenerfüllung erforderlich ist.</w:t>
      </w:r>
    </w:p>
    <w:p>
      <w:r>
        <w:rPr>
          <w:color w:val="555555"/>
          <w:sz w:val="17"/>
        </w:rPr>
        <w:t xml:space="preserve">Zitiervorschlag: § 4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