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ERegG — Besondere Entgeltregelungen, leistungsabhängige Entgeltregelung für Betreiber der Schienenwege und Betreiber von Serviceeinrichtungen</w:t>
      </w:r>
    </w:p>
    <w:p>
      <w:r>
        <w:rPr>
          <w:color w:val="555555"/>
          <w:sz w:val="18"/>
        </w:rPr>
        <w:t xml:space="preserve">Eisenbahnregulierungsgesetz</w:t>
      </w:r>
    </w:p>
    <w:p>
      <w:r>
        <w:rPr>
          <w:color w:val="555555"/>
          <w:sz w:val="18"/>
        </w:rPr>
        <w:t xml:space="preserve">Stand: 10.06.2019 (konsolidierte Textfassung, kein amtliches Inkrafttretensdatum)</w:t>
      </w:r>
    </w:p>
    <w:p>
      <w:r>
        <w:t xml:space="preserve">(1) Ein Betreiber der Schienenwege ist verpflichtet, den Zugangsberechtigten den Zugang zu Eisenbahnanlagen zu angemessenen, transparenten und nichtdiskriminierenden Entgelten und Entgeltregelungen zu gestatten.</w:t>
      </w:r>
    </w:p>
    <w:p>
      <w:r>
        <w:t xml:space="preserve">(2) Die Entgeltregelungen für die Schienenwegnutzung müssen durch leistungsabhängige Bestandteile den Eisenbahnverkehrsunternehmen und dem jeweiligen Betreiber der Schienenwege Anreize zur Minimierung von Störungen und zur Erhöhung der Leistungsfähigkeit des Schienennetzes bieten. Diese Regelungen können Vertragsstrafen für Störungen des Netzbetriebs, eine Entschädigung für von Störungen betroffene Unternehmen und eine Bonusregelung für Leistungen, die das geplante Leistungsniveau übersteigen, umfassen.</w:t>
      </w:r>
    </w:p>
    <w:p>
      <w:r>
        <w:t xml:space="preserve">(3) Die Grundsätze der leistungsabhängigen Entgeltregelung nach Anlage 7 Nummer 2 gelten für das gesamte Netz eines Betreibers der Schienenwege.</w:t>
      </w:r>
    </w:p>
    <w:p>
      <w:r>
        <w:t xml:space="preserve">(4) Absatz 2 gilt für Betreiber von Serviceeinrichtungen entsprechend.</w:t>
      </w:r>
    </w:p>
    <w:p>
      <w:r>
        <w:t xml:space="preserve">(5) Die Absätze 2 und 3 sind insoweit nicht anzuwenden, als ein auf Grund des Artikels 35 Absatz 3 der Richtlinie 2012/34/EU erlassener delegierter Rechtsakt eine inhaltsgleiche oder entgegenstehende Regelung trifft.</w:t>
      </w:r>
    </w:p>
    <w:p>
      <w:r>
        <w:rPr>
          <w:color w:val="555555"/>
          <w:sz w:val="17"/>
        </w:rPr>
        <w:t xml:space="preserve">Zitiervorschlag: § 39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