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ERegG — Entgeltgrundsätze</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Entgelte für die Nutzung der Schienenwege und von Serviceeinrichtungen sind an den Betreiber der Schienenwege und den Betreiber einer Serviceeinrichtung zu entrichten, dem sie zur Finanzierung seiner Unternehmenstätigkeit dienen.</w:t>
      </w:r>
    </w:p>
    <w:p>
      <w:r>
        <w:t xml:space="preserve">(2) Ein Betreiber der Schienenwege oder ein Betreiber einer Serviceeinrichtung ist verpflichtet, der Regulierungsbehörde alle erforderlichen Informationen zu den erhobenen Entgelten vorzulegen, damit diese ihre in § 66 genannten Aufgaben wahrnehmen kann. Der Betreiber der Schienenwege oder der Betreiber einer Serviceeinrichtung muss dem jeweiligen Eisenbahnverkehrsunternehmen nachweisen können, dass die dem Eisenbahnverkehrsunternehmen nach den §§ 28 bis 31 von dem Betreiber der Schienenwege oder nach § 32 von dem Betreiber einer Serviceeinrichtung tatsächlich berechneten Wege- und Dienstleistungsentgelte den in den Schienennetz-Nutzungsbedingungen und Nutzungsbedingungen von Serviceeinrichtungen vorgesehenen Verfahren, Regeln und gegebenenfalls Tabellen entsprechen.</w:t>
      </w:r>
    </w:p>
    <w:p>
      <w:r>
        <w:t xml:space="preserve">(3) Unbeschadet des § 31 Absatz 2, des § 32 und des § 36 ist das Entgelt für das Mindestzugangspaket und für den Zugang zu Eisenbahnanlagen, durch die Serviceeinrichtungen angebunden werden, in Höhe der Kosten festzulegen, die unmittelbar auf Grund des Zugbetriebs anfallen. Satz 1 ist nicht für Entgelte der Betreiber von Serviceeinrichtungen anzuwenden.</w:t>
      </w:r>
    </w:p>
    <w:p>
      <w:r>
        <w:t xml:space="preserve">(4) Die Vorgaben über die Bedingungen zur Berechnung der Kosten, wie sie auf Grund eines nach Artikel 31 Absatz 3 der Richtlinie 2012/34/EU erlassenen, durch Anlage 6 modifizierten Durchführungsrechtsaktes bestimmt werden, sind zu beachten. Der Betreiber der Schienenwege hat diese spätestens nach vier Jahren anzuwenden.</w:t>
      </w:r>
    </w:p>
    <w:p>
      <w:r>
        <w:rPr>
          <w:color w:val="555555"/>
          <w:sz w:val="17"/>
        </w:rPr>
        <w:t xml:space="preserve">Zitiervorschlag: § 34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