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ERegG — Ermittlung und Genehmigung der Entgelte in Ausnahmefällen</w:t>
      </w:r>
    </w:p>
    <w:p>
      <w:r>
        <w:rPr>
          <w:color w:val="555555"/>
          <w:sz w:val="18"/>
        </w:rPr>
        <w:t xml:space="preserve">Eisenbahnregulierungsgesetz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bedürfen der Genehmigung:</w:t>
      </w:r>
    </w:p>
    <w:p>
      <w:pPr>
        <w:ind w:left="420"/>
      </w:pPr>
      <w:r>
        <w:t xml:space="preserve">1. Entgelte der Betreiber der Schienenwege, die von den Vorschriften zur Entgeltbildung für Schienenwege befreit sind und</w:t>
      </w:r>
    </w:p>
    <w:p>
      <w:pPr>
        <w:ind w:left="420"/>
      </w:pPr>
      <w:r>
        <w:t xml:space="preserve">2. Entgelte der Betreiber von Personenbahnhöfen.</w:t>
      </w:r>
    </w:p>
    <w:p>
      <w:r>
        <w:t xml:space="preserve">Die jeweilige Genehmigung ist zu erteilen, wenn die Anforderungen des § 32 erfüllt sind. Für Betreiber der Schienenwege der Eisenbahnen des Bundes und für Personenbahnhöfe der Eisenbahnen des Bundes gilt abweichend von Satz 2 für Personenverkehrsdienste nach § 36 Absatz 2 Satz 2 Nummer 2 der § 37, soweit nicht § 37 Absatz 3 Abweichendes regelt.</w:t>
      </w:r>
    </w:p>
    <w:p>
      <w:r>
        <w:t xml:space="preserve">(2) Andere als die genehmigten Entgelte dürfen nicht vereinbart werden. Ist in einem Vertrag eine Entgeltvereinbarung wegen Verstoßes gegen Satz 1 unwirksam, gilt das jeweils genehmigte Entgelt als vereinbart. Das genehmigte Entgelt gilt als billiges Entgelt im Sinne des § 315 des Bürgerlichen Gesetzbuches.</w:t>
      </w:r>
    </w:p>
    <w:p>
      <w:r>
        <w:rPr>
          <w:color w:val="555555"/>
          <w:sz w:val="17"/>
        </w:rPr>
        <w:t xml:space="preserve">Zitiervorschlag: § 33 ERegG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https://recht.nulegal.eu/gesetze/ERegG/33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