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31 ERegG — Ermittlung der Entgelte des Betreibers der Schienenwege</w:t>
      </w:r>
    </w:p>
    <w:p>
      <w:r>
        <w:rPr>
          <w:color w:val="555555"/>
          <w:sz w:val="18"/>
        </w:rPr>
        <w:t xml:space="preserve">Eisenbahnregulierungsgesetz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Betreiber der Schienenwege hat das Entgelt für das Mindestzugangspaket in Euro je Trassenkilometer auszuweisen. Mit diesem Entgelt ist das gesamte Mindestzugangspaket abgegolten.</w:t>
      </w:r>
    </w:p>
    <w:p>
      <w:r>
        <w:t xml:space="preserve">(2) Der Betreiber der Schienenwege ist verpflichtet, mit der Summe der nach § 26 Absatz 2 ermittelten Entgelte die Gesamtkosten des Mindestzugangspakets zu decken. Die Regulierungsbehörde kann auf Antrag hiervon Ausnahmen zulassen, wenn die Kostenunterdeckung voraussichtlich nur vorübergehend eintreten wird oder die Gesamtkosten anderweitig gedeckt werden.</w:t>
      </w:r>
    </w:p>
    <w:p>
      <w:r>
        <w:rPr>
          <w:color w:val="555555"/>
          <w:sz w:val="17"/>
        </w:rPr>
        <w:t xml:space="preserve">Zitiervorschlag: § 31 ERegG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https://recht.nulegal.eu/gesetze/ERegG/31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