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ERegG — Ziele der Regulierung</w:t>
      </w:r>
    </w:p>
    <w:p>
      <w:r>
        <w:rPr>
          <w:color w:val="555555"/>
          <w:sz w:val="18"/>
        </w:rPr>
        <w:t xml:space="preserve">Eisenbahnregulierungsgesetz</w:t>
      </w:r>
    </w:p>
    <w:p>
      <w:r>
        <w:rPr>
          <w:color w:val="555555"/>
          <w:sz w:val="18"/>
        </w:rPr>
        <w:t xml:space="preserve">Stand: 24.06.2021 (konsolidierte Textfassung, kein amtliches Inkrafttretensdatum)</w:t>
      </w:r>
    </w:p>
    <w:p>
      <w:r>
        <w:t xml:space="preserve">Ziele der Regulierung des Eisenbahnsektors sind:</w:t>
      </w:r>
    </w:p>
    <w:p>
      <w:pPr>
        <w:ind w:left="420"/>
      </w:pPr>
      <w:r>
        <w:t xml:space="preserve">1. die Steigerung des Anteils des schienengebundenen Personen- und Güterverkehrs am gesamten Verkehrsaufkommen;</w:t>
      </w:r>
    </w:p>
    <w:p>
      <w:pPr>
        <w:ind w:left="420"/>
      </w:pPr>
      <w:r>
        <w:t xml:space="preserve">2. die Wahrung der Interessen der Zugangsberechtigten auf dem Gebiet der Eisenbahnmärkte bei der Förderung und Sicherstellung eines wirksamen Wettbewerbs in den Eisenbahnmärkten sowie die Wahrung der Interessen der Verbraucher;</w:t>
      </w:r>
    </w:p>
    <w:p>
      <w:pPr>
        <w:ind w:left="420"/>
      </w:pPr>
      <w:r>
        <w:t xml:space="preserve">3. die Förderung von Investitionen der Eisenbahninfrastruktur- und -verkehrsunternehmen und die Unterstützung von Innovationen;</w:t>
      </w:r>
    </w:p>
    <w:p>
      <w:pPr>
        <w:ind w:left="420"/>
      </w:pPr>
      <w:r>
        <w:t xml:space="preserve">4. die Förderung eines einheitlichen europäischen Eisenbahnmarktes;</w:t>
      </w:r>
    </w:p>
    <w:p>
      <w:pPr>
        <w:ind w:left="420"/>
      </w:pPr>
      <w:r>
        <w:t xml:space="preserve">5. die Gewährleistung eines sicheren, leistungsfähigen und zuverlässigen Betriebs der Eisenbahninfrastruktur und</w:t>
      </w:r>
    </w:p>
    <w:p>
      <w:pPr>
        <w:ind w:left="420"/>
      </w:pPr>
      <w:r>
        <w:t xml:space="preserve">6. die Verkürzung der Reisezeiten im Schienenpersonenverkehr und der durchschnittlichen Transportdauer im Schienengüterverkehr.</w:t>
      </w:r>
    </w:p>
    <w:p>
      <w:r>
        <w:rPr>
          <w:color w:val="555555"/>
          <w:sz w:val="17"/>
        </w:rPr>
        <w:t xml:space="preserve">Zitiervorschlag: § 3 ERegG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https://recht.nulegal.eu/gesetze/ERegG/3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