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ERegG — Ausnahmen und Befreiungen von den Entgelt- und Zuweisungsvorschriften für Serviceeinrichtungen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Kapitel 3 ist nicht anzuwenden für Betreiber von Serviceeinrichtungen, soweit die Serviceeinrichtungen an nicht regelspurigen Schienenwegen liegen.</w:t>
      </w:r>
    </w:p>
    <w:p>
      <w:r>
        <w:t xml:space="preserve">(2) Die Regulierungsbehörde soll Betreiber einer Serviceeinrichtung, die eine Serviceeinrichtung nach Anlage 2 Nummer 2 betreiben oder darin Leistungen erbringen, auf Antrag ganz oder teilweise von den Pflichten des § 13 und des Kapitels 3 unter Ausnahme der §§ 21 und 43 befreien, wenn</w:t>
      </w:r>
    </w:p>
    <w:p>
      <w:pPr>
        <w:ind w:left="420"/>
      </w:pPr>
      <w:r>
        <w:t xml:space="preserve">1. die Serviceeinrichtung oder Leistung hinsichtlich der Auslastung der Serviceeinrichtung, der Art und des Umfangs des potentiell betroffenen Verkehrs sowie der Art der in der Serviceeinrichtung angebotenen Leistungen ohne strategische Bedeutung für das Funktionieren des Schienenverkehrsmarktes ist,</w:t>
      </w:r>
    </w:p>
    <w:p>
      <w:pPr>
        <w:ind w:left="420"/>
      </w:pPr>
      <w:r>
        <w:t xml:space="preserve">2. die Serviceeinrichtung oder die Leistung in einem wettbewerbsorientierten Umfeld mit einer Vielzahl von Wettbewerbern, die vergleichbare Leistungen erbringen, betrieben oder erbracht wird oder</w:t>
      </w:r>
    </w:p>
    <w:p>
      <w:pPr>
        <w:ind w:left="420"/>
      </w:pPr>
      <w:r>
        <w:t xml:space="preserve">3. die Anwendung dieser Vorschriften das Funktionieren des Marktes für Serviceeinrichtungen beeinträchtigen könnte.</w:t>
      </w:r>
    </w:p>
    <w:p>
      <w:r>
        <w:t xml:space="preserve">Satz 1 ist nicht anzuwenden, soweit ein auf Grund des Artikels 13 Absatz 9 der Richtlinie 2012/34/EU des Europäischen Parlaments und des Rates vom 21. November 2012 zur Schaffung eines einheitlichen europäischen Eisenbahnraums (ABl. L 343 vom 14.12.2012, S. 32; L 67 vom 12.3.2015, S. 32), die zuletzt durch den Delegierten Beschluss (EU) 2017/2075 (ABl. L 295 vom 14.11.2017, S. 69) geändert worden ist, erlassener Durchführungsrechtsakt eine inhaltsgleiche oder eine entgegenstehende Regelung trifft.</w:t>
      </w:r>
    </w:p>
    <w:p>
      <w:r>
        <w:t xml:space="preserve">(3) Die Regulierungsbehörde soll Betreiber einer Serviceeinrichtung, die ausschließlich von Betreibern kulturhistorischer Eisenbahnen für eigene Zwecke genutzt wird, auf Antrag von den Pflichten dieses Gesetzes mit Ausnahme des § 17 Absatz 2 Nummer 1 befreien, wenn die Serviceeinrichtung oder Leistung ohne strategische Bedeutung für das Funktionieren des Schienenverkehrsmarktes ist.</w:t>
      </w:r>
    </w:p>
    <w:p>
      <w:r>
        <w:t xml:space="preserve">(4) Werden die Kriterien für die Gewährung einer Ausnahme nicht länger erfüllt, ist die Entscheidung zu widerrufen.</w:t>
      </w:r>
    </w:p>
    <w:p>
      <w:r>
        <w:rPr>
          <w:color w:val="555555"/>
          <w:sz w:val="17"/>
        </w:rPr>
        <w:t xml:space="preserve">Zitiervorschlag: § 2b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