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ERegG — Ausnahmen und Befreiungen von den Entgelt- und Zuweisungsvorschriften für Eisenbahnanlagen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(1) Nicht anzuwenden sind</w:t>
      </w:r>
    </w:p>
    <w:p>
      <w:pPr>
        <w:ind w:left="420"/>
      </w:pPr>
      <w:r>
        <w:t xml:space="preserve">1. für Betreiber der Schienenwege von nicht regelspurigen Eisenbahnen das Kapitel 3,</w:t>
      </w:r>
    </w:p>
    <w:p>
      <w:pPr>
        <w:ind w:left="420"/>
      </w:pPr>
      <w:r>
        <w:t xml:space="preserve">2. für Betreiber der Schienenwege von regelspurigen Eisenbahnen oder von S-Bahnen ohne besondere Bahnstromsysteme die §§ 18 und 23 Absatz 2, §§ 24 bis 30, 31 Absatz 2, § 34 Absatz 3 und 4, §§ 35 bis 38, 39 Absatz 2 bis 5, §§ 45, 49 bis 55 und 58 bis 60, soweit die Betreiber der Schienenwege</w:t>
      </w:r>
    </w:p>
    <w:p>
      <w:pPr>
        <w:ind w:left="780"/>
      </w:pPr>
      <w:r>
        <w:t xml:space="preserve">a) eigenständige örtliche und regionale Schienennetze für Personenverkehrsdienste betreiben,</w:t>
      </w:r>
    </w:p>
    <w:p>
      <w:pPr>
        <w:ind w:left="780"/>
      </w:pPr>
      <w:r>
        <w:t xml:space="preserve">b) nur für die Durchführung von Schienenpersonenverkehrsdiensten im Stadt- oder Vorortverkehr bestimmte Netze betreiben oder</w:t>
      </w:r>
    </w:p>
    <w:p>
      <w:pPr>
        <w:ind w:left="780"/>
      </w:pPr>
      <w:r>
        <w:t xml:space="preserve">c) regionale Schienennetze betreiben, die ausschließlich für regionale Güterverkehrsdienste genutzt werden, bis zu dem Zeitpunkt, zu dem von einem anderen Antragsteller die Zuweisung von Fahrwegkapazität auf dem betreffenden Netz beantragt wird;</w:t>
      </w:r>
    </w:p>
    <w:p>
      <w:r>
        <w:t xml:space="preserve">im Fall des Buchstabens c gilt dies auch, wenn die Strecke in begrenztem Umfang auch für Personenverkehrsdienste genutzt wird,</w:t>
      </w:r>
    </w:p>
    <w:p>
      <w:pPr>
        <w:ind w:left="420"/>
      </w:pPr>
      <w:r>
        <w:t xml:space="preserve">3. für Betreiber der Schienenwege, die ein Schienennetz von höchstens 1 000 Kilometern Länge betreiben, die §§ 24 bis 30.</w:t>
      </w:r>
    </w:p>
    <w:p>
      <w:r>
        <w:t xml:space="preserve">Für Satz 1 Nummer 2 gilt § 2 Absatz 7 bis 9 entsprechend.</w:t>
      </w:r>
    </w:p>
    <w:p>
      <w:r>
        <w:t xml:space="preserve">(2) Die Regulierungsbehörde soll Betreiber von Eisenbahnanlagen, die ausschließlich von Betreibern kulturhistorischer Eisenbahnen im Rahmen ihrer Zweckbestimmung genutzt werden, auf Antrag von den Pflichten dieses Gesetzes mit Ausnahme des § 17 Absatz 2 Nummer 1 befreien, wenn die Eisenbahnanlage ohne strategische Bedeutung für das Funktionieren des Schienenverkehrsmarktes ist.</w:t>
      </w:r>
    </w:p>
    <w:p>
      <w:r>
        <w:t xml:space="preserve">(3) § 36 Absatz 5 gilt nicht für Wegeentgelte für vor 1985 zum ersten Mal in Betrieb genommene Züge, die nicht mit dem Europäischen Zugsicherungs- und Zugsteuerungssystem ausgerüstet sind und die für regionale Personenverkehrsdienste verwendet werden.</w:t>
      </w:r>
    </w:p>
    <w:p>
      <w:r>
        <w:t xml:space="preserve">(4) Die Regulierungsbehörde soll Betreiber der Eisenbahnanlagen, auf deren in ihrem Eigentum stehenden Netzen weder Schienenpersonenfernverkehr noch Schienengüterverkehr im erheblichen Umfang stattfindet, auf Antrag von den Vorgaben des § 37 befreien. Gleiches gilt für Betreiber von Personenbahnhöfen, an deren Bahnhöfen Züge des Schienenpersonenfernverkehrs nur in unerheblichem Umfang halten.</w:t>
      </w:r>
    </w:p>
    <w:p>
      <w:r>
        <w:t xml:space="preserve">(5) Absatz 1 gilt entsprechend für Betreiber der Personenbahnsteige und Betreiber der Laderampen, soweit der Betreiber der Schienenwege, an dessen Schienenwegen die Personenbahnsteige und Laderampen liegen, in den Anwendungsbereich des Absatzes 1 fällt.</w:t>
      </w:r>
    </w:p>
    <w:p>
      <w:r>
        <w:rPr>
          <w:color w:val="555555"/>
          <w:sz w:val="17"/>
        </w:rPr>
        <w:t xml:space="preserve">Zitiervorschlag: § 2a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