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ERegG — Ausnahmen im Rahmen der Anreizsetzung</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Liegen besondere oder unvorhergesehene Mehrbelastungen für einen Betreiber der Schienenwege vor, so kann die Regulierungsbehörde auf Antrag Ausnahmen von § 25 Absatz 2 bis 5 oder § 26 Absatz 1 für den Zeitraum der betroffenen Regulierungsperiode genehmigen, um dadurch notwendige Investitionen des Betreibers der Schienenwege in die Eisenbahninfrastruktur zu ermöglichen. Besondere oder unvorhergesehene Mehrbelastungen können im Rahmen von außergewöhnlichen Neu- und Ausbaumaßnahmen und durch Instandsetzungen auf Grund von Schäden an der Eisenbahninfrastruktur durch</w:t>
      </w:r>
    </w:p>
    <w:p>
      <w:pPr>
        <w:ind w:left="420"/>
      </w:pPr>
      <w:r>
        <w:t xml:space="preserve">1. schwere Unwetter,</w:t>
      </w:r>
    </w:p>
    <w:p>
      <w:pPr>
        <w:ind w:left="420"/>
      </w:pPr>
      <w:r>
        <w:t xml:space="preserve">2. schwere Unfälle oder</w:t>
      </w:r>
    </w:p>
    <w:p>
      <w:pPr>
        <w:ind w:left="420"/>
      </w:pPr>
      <w:r>
        <w:t xml:space="preserve">3. rechtswidrige Zerstörungen durch Dritte in erheblichem Umfang</w:t>
      </w:r>
    </w:p>
    <w:p>
      <w:r>
        <w:t xml:space="preserve">entstehen. Besondere Mehrbelastungen liegen insbesondere dann vor, wenn die Kosten für eine Maßnahme unvorhersehbar und in hohem Umfang über die kalkulierten Kosten der Maßnahme hinausgehen.</w:t>
      </w:r>
    </w:p>
    <w:p>
      <w:r>
        <w:t xml:space="preserve">(2) Erhält der Betreiber der Schienenwege Zuwendungen zur Finanzierung der im Mindestzugangspaket zu berücksichtigenden Vermögensgegenstände des Anlagevermögens, kann die Regulierungsbehörde vom Betreiber der Schienenwege jederzeit eine Darlegung verlangen, dass die erhaltenen Zuwendungen bei der Ermittlung der Anschaffungs- und Herstellkosten des Anlagevermögens und entsprechend bei der Ermittlung der im Ausgangsniveau der Gesamtkosten zu berücksichtigenden Abschreibungen in Abzug gebracht werden. Im Falle der Gewährung von Zuwendungen, die in keinem unmittelbaren Zusammenhang mit investiven Maßnahmen stehen, ist entsprechend in Bezug auf zuwendungsgedeckte Kosten zu verfahren.</w:t>
      </w:r>
    </w:p>
    <w:p>
      <w:r>
        <w:rPr>
          <w:color w:val="555555"/>
          <w:sz w:val="17"/>
        </w:rPr>
        <w:t xml:space="preserve">Zitiervorschlag: § 27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