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ERegG — Vereinbarungen zwischen einem Zugangsberechtigten und dem Betreiber der Schienenwege oder einer Serviceeinrichtung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der Schienenwege schließt mit jedem Zugangsberechtigten die erforderlichen Vereinbarungen über</w:t>
      </w:r>
    </w:p>
    <w:p>
      <w:pPr>
        <w:ind w:left="420"/>
      </w:pPr>
      <w:r>
        <w:t xml:space="preserve">1. die Einzelheiten des Zugangs, insbesondere hinsichtlich des Zeitpunktes und der Dauer der Nutzung,</w:t>
      </w:r>
    </w:p>
    <w:p>
      <w:pPr>
        <w:ind w:left="420"/>
      </w:pPr>
      <w:r>
        <w:t xml:space="preserve">2. das zu entrichtende Entgelt und</w:t>
      </w:r>
    </w:p>
    <w:p>
      <w:pPr>
        <w:ind w:left="420"/>
      </w:pPr>
      <w:r>
        <w:t xml:space="preserve">3. die sonstigen Nutzungsbedingungen.</w:t>
      </w:r>
    </w:p>
    <w:p>
      <w:r>
        <w:t xml:space="preserve">(2) Die Bedingungen dieser Vereinbarungen müssen angemessen, nichtdiskriminierend und transparent sein.</w:t>
      </w:r>
    </w:p>
    <w:p>
      <w:r>
        <w:t xml:space="preserve">(3) Die Absätze 1 und 2 gelten auch für den Betreiber einer Serviceeinrichtung.</w:t>
      </w:r>
    </w:p>
    <w:p>
      <w:r>
        <w:rPr>
          <w:color w:val="555555"/>
          <w:sz w:val="17"/>
        </w:rPr>
        <w:t xml:space="preserve">Zitiervorschlag: § 20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