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ERegG — Zugang zu Leistungen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(1) Ein Betreiber von Eisenbahnanlagen hat für alle Zugangsberechtigten die Leistungen des Mindestzugangspakets nach Anlage 2 Nummer 1 zu angemessenen, nichtdiskriminierenden und transparenten Bedingungen zu erbringen.</w:t>
      </w:r>
    </w:p>
    <w:p>
      <w:r>
        <w:t xml:space="preserve">(2) Ein Betreiber einer Serviceeinrichtung hat für alle Zugangsberechtigten die Leistungen, die in den in Anlage 2 Nummer 2 genannten Einrichtungen erbracht werden, zu angemessenen, nichtdiskriminierenden und transparenten Bedingungen zu erbringen.</w:t>
      </w:r>
    </w:p>
    <w:p>
      <w:r>
        <w:t xml:space="preserve">(3) Absatz 2 ist insoweit nicht anzuwenden, als ein auf Grund des Artikels 13 Absatz 9 der Richtlinie 2012/34/EU erlassener Durchführungsrechtsakt eine inhaltsgleiche oder entgegenstehende Regelung trifft.</w:t>
      </w:r>
    </w:p>
    <w:p>
      <w:r>
        <w:rPr>
          <w:color w:val="555555"/>
          <w:sz w:val="17"/>
        </w:rPr>
        <w:t xml:space="preserve">Zitiervorschlag: § 11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