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ERegG — Zugang zu Eisenbahnanlagen und zu Serviceeinrichtungen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Jeder Zugangsberechtigte hat das Recht auf Zugang zu Eisenbahnanlagen für alle Arten von Schienengüterverkehrsdiensten zu angemessenen, nichtdiskriminierenden und transparenten Bedingungen. Dieses Recht schließt auch den Zugang zu Infrastrukturen für die Anbindung von See- und Binnenhäfen und anderen Serviceeinrichtungen nach Anlage 2 Nummer 2 und den Zugang zu Infrastrukturen ein, die mehr als einem Endnutzer dienen oder dienen können.</w:t>
      </w:r>
    </w:p>
    <w:p>
      <w:r>
        <w:t xml:space="preserve">(2) Unbeschadet der Verordnung (EG) Nr. 1370/2007 haben Zugangsberechtigte für Schienenpersonenverkehrsdienste das Recht auf Zugang zu Eisenbahnanlagen für alle Arten von Personenverkehrsdiensten zu angemessenen, nichtdiskriminierenden und transparenten Bedingungen. Die Eisenbahnverkehrsunternehmen haben das Recht, Fahrgäste an jedem beliebigen Bahnhof aufzunehmen und abzusetzen. Dieses Recht schließt den Zugang zu Infrastrukturen ein, durch die Serviceeinrichtungen nach Nummer 2 der Anlage 2 angebunden werden.</w:t>
      </w:r>
    </w:p>
    <w:p>
      <w:r>
        <w:t xml:space="preserve">(3) Jeder Zugangsberechtigte hat das Recht auf Zugang einschließlich des Schienenzugangs zu den in Anlage 2 Nummer 2 genannten Einrichtungen zu angemessenen, nichtdiskriminierenden und transparenten Bedingungen.</w:t>
      </w:r>
    </w:p>
    <w:p>
      <w:r>
        <w:t xml:space="preserve">(4) Die Regelungen dieses Paragrafen sind insoweit nicht anzuwenden, als ein auf Grund von Artikel 11 Absatz 4 oder Artikel 13 Absatz 9 der Richtlinie 2012/34/EU erlassener Durchführungsrechtsakt eine inhaltsgleiche oder entgegenstehende Regelung trifft.</w:t>
      </w:r>
    </w:p>
    <w:p>
      <w:r>
        <w:rPr>
          <w:color w:val="555555"/>
          <w:sz w:val="17"/>
        </w:rPr>
        <w:t xml:space="preserve">Zitiervorschlag: § 10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