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EReg-BGebV — Inkrafttreten</w:t>
      </w:r>
    </w:p>
    <w:p>
      <w:r>
        <w:rPr>
          <w:color w:val="555555"/>
          <w:sz w:val="18"/>
        </w:rPr>
        <w:t xml:space="preserve">Eisenbahnregulierungs-Gebührenverordnung</w:t>
      </w:r>
    </w:p>
    <w:p>
      <w:r>
        <w:rPr>
          <w:color w:val="555555"/>
          <w:sz w:val="18"/>
        </w:rPr>
        <w:t xml:space="preserve">Stand: 15.05.2021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EReg-BGebV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https://recht.nulegal.eu/gesetze/EReg-BGebV/6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EReg-BGebV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