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Eingangsformel ERechV</w:t>
      </w:r>
    </w:p>
    <w:p>
      <w:r>
        <w:rPr>
          <w:color w:val="555555"/>
          <w:sz w:val="18"/>
        </w:rPr>
        <w:t xml:space="preserve">E-Rechnungsverordnung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Auf Grund des § 4a Absatz 3 des E-Government-Gesetzes, der durch Artikel 1 Nummer 2 des Gesetzes vom 4. April 2017 (BGBl. I S. 770) eingefügt worden ist, verordnet die Bundesregierung:</w:t>
      </w:r>
    </w:p>
    <w:p>
      <w:r>
        <w:rPr>
          <w:color w:val="555555"/>
          <w:sz w:val="17"/>
        </w:rPr>
        <w:t xml:space="preserve">Zitiervorschlag: Eingangsformel ERechV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https://recht.nulegal.eu/gesetze/ERechV/eingangsformel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