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ERechV — Ausnahmen für geheimhaltungsbedürftige Rechnungsdaten</w:t>
      </w:r>
    </w:p>
    <w:p>
      <w:r>
        <w:rPr>
          <w:color w:val="555555"/>
          <w:sz w:val="18"/>
        </w:rPr>
        <w:t xml:space="preserve">E-Rechnungsverordnung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Rechnungsdaten, die gemäß § 4 Absatz 2 Nummer 1 bis 3 des Sicherheitsüberprüfungsgesetzes geheimhaltungsbedürftig sind, sind vom Geltungsbereich dieser Verordnung ausgenommen. Unberührt dessen können Vertragsparteien im Einzelfall eine elektronische Rechnungsstellung vereinbaren.</w:t>
      </w:r>
    </w:p>
    <w:p>
      <w:r>
        <w:t xml:space="preserve">(2) Rechnungsdaten, die nach § 4 Absatz 2 Nummer 4 des Sicherheitsüberprüfungsgesetzes geheimhaltungsbedürftig sind, dürfen nicht per E-Mail übertragen werden.</w:t>
      </w:r>
    </w:p>
    <w:p>
      <w:r>
        <w:rPr>
          <w:color w:val="555555"/>
          <w:sz w:val="17"/>
        </w:rPr>
        <w:t xml:space="preserve">Zitiervorschlag: § 8 ERechV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https://recht.nulegal.eu/gesetze/ERechV/8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