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ERechV — Inkrafttreten</w:t>
      </w:r>
    </w:p>
    <w:p>
      <w:r>
        <w:rPr>
          <w:color w:val="555555"/>
          <w:sz w:val="18"/>
        </w:rPr>
        <w:t xml:space="preserve">E-Rechnungsverordnung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vorbehaltlich der Absätze 2 und 3 am 27. November 2018 in Kraft.</w:t>
      </w:r>
    </w:p>
    <w:p>
      <w:r>
        <w:t xml:space="preserve">(2) Für subzentrale öffentliche Auftraggeber sowie für Sektorenauftraggeber und für Konzessionsgeber tritt diese Verordnung am 27. November 2019 in Kraft.</w:t>
      </w:r>
    </w:p>
    <w:p>
      <w:r>
        <w:t xml:space="preserve">(3) § 3 Absatz 1 tritt am 27. November 2020 in Kraft.</w:t>
      </w:r>
    </w:p>
    <w:p>
      <w:r>
        <w:rPr>
          <w:color w:val="555555"/>
          <w:sz w:val="17"/>
        </w:rPr>
        <w:t xml:space="preserve">Zitiervorschlag: § 11 ERechV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https://recht.nulegal.eu/gesetze/ERechV/11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